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20"/>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of Incorporation)</w:t>
            </w:r>
          </w:p>
        </w:tc>
        <w:tc>
          <w:tcPr>
            <w:tcW w:w="4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 2026, TG Therapeutics, Inc. (the “Company”) issued a press release announced positive pharmacokinetic (PK), pharmacodynamic (PD), safety, and tolerability data from its Phase 1 clinical trial evaluating a subcutaneous formulation of ublituximab (the active agent in BRIUMVI®) in patients with relapsing forms of multiple sclerosis (RMS). A copy of the press release is being filed herewith as Exhibit 99.1 and incorporated into this Item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TG Therapeutics, Inc., dated June 3, 2026.</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5060" w:val="left"/>
          <w:tab w:leader="none" w:pos="560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w:t>
        <w:tab/>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Announces Positive Results from Phase 1 Trial Evaluating Subcutaneous BRIUMVI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(ublituximab-xiiy)</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Pharmacokinetic and pharmacodynamic data support quarterly subcutaneous BRIUMVI dosing regimen currently under evaluation in fully enrolled Phase 3 trial; Top-line Phase 3 data expected year-end 2026 or early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Novel Investigational high concentration subcutaneous formulation of BRIUMVI was well-tolerated with no new safety signals observed</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3, 2026 </w:t>
      </w:r>
      <w:r>
        <w:rPr>
          <w:rFonts w:ascii="Times New Roman" w:cs="Times New Roman" w:eastAsia="Times New Roman" w:hAnsi="Times New Roman"/>
          <w:sz w:val="18"/>
          <w:szCs w:val="18"/>
          <w:color w:val="auto"/>
        </w:rPr>
        <w:t>— TG Therapeutics, Inc. (NASDAQ: TGTX) (the “Company” or “TG Therapeutics”), today announced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 (PK), pharmacodynamic (PD), safety, and tolerability data from its Phase 1 clinical trial evaluating subcutaneous formulation of ublituximab (the active agent in BRIUMVI®) as compared to IV BRIUMVI.</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Michael S. Weiss, Chairman and Chief Executive Officer of TG Therapeutics, stated, “We are very pleased to report these positive Phase 1 results demonstrating that our proprietary high-concentration, low-volume subcutaneous formulation of BRIUMVI was well tolerated and achieved sustained drug exposure. Importantly, these data strengthen our confidence that the quarterly subcutaneous dosing regimen, currently being evaluated in the ongoing Phase 3 study, can achieve its primary endpoint.”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Weiss continued, “If approved, subcutaneous BRIUMVI would be the first and only self-administered, at-home, quarterly anti-CD20 therapy for people living with multiple sclerosis, significantly reducing the total number of injections per year as compared to currently available options. Strategically, given the distinct nature of the self-administered portion of the anti-CD20 market, a subcutaneous option could nearly double the addressable market opportunity for the BRIUMVI franchise. We look forward to reporting Phase 3 data later this year or early next year and, if successful, advancing toward a potential approval in 2028.”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FINDINGS FROM THE PHASE 1 SUBCUTANEOUS BRIUMVI TRIAL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Phase 1 trial is evaluating the bioavailability, pharmacokinetics (PK), pharmacodynamics (PD), safety, and tolerability of a high-concentration (400 mg/2 mL) subcutaneous formulation of BRIUMVI compared to the currently approved intravenous (“IV”) formulation. To date, over 100 patients have been treated in the trial, including more than 80 patients who received subcutaneous BRIUMVI across multiple dose levels (50 mg – 400 mg) in single and multiple dose cohorts. More than 225 subcutaneous injections of BRIUMVI were administered, of which over 75% were 400 mg (2 mL) injections.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Bioavailability/Pharmacokinetics (Drug Exposure):</w:t>
      </w:r>
    </w:p>
    <w:p>
      <w:pPr>
        <w:spacing w:after="0" w:line="229" w:lineRule="exact"/>
        <w:rPr>
          <w:sz w:val="20"/>
          <w:szCs w:val="20"/>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concentration-time profile of subcutaneous BRIUMVI was consistent with expectations for a subcutaneous formulation, with a gradual absorption phase and lower peak concentrations relative to IV, and linear pharmacokinetics were observed over the entire dose range evaluated.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Subcutaneous BRIUMVI demonstrated mean bioavailability of greater than 60% relative to IV administration, with the lower bound of the 95% confidence interval exceeding 55%.</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 modeling and simulation informed by the Phase 1 bioavailability data support the conclusion that:</w:t>
      </w:r>
    </w:p>
    <w:p>
      <w:pPr>
        <w:spacing w:after="0" w:line="207" w:lineRule="exact"/>
        <w:rPr>
          <w:sz w:val="20"/>
          <w:szCs w:val="20"/>
          <w:color w:val="auto"/>
        </w:rPr>
      </w:pPr>
    </w:p>
    <w:p>
      <w:pPr>
        <w:jc w:val="both"/>
        <w:ind w:left="1300" w:hanging="320"/>
        <w:spacing w:after="0" w:line="257"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subcutaneous dosing regimen that is being evaluated in the Phase 3 trial would achieve non-inferior total drug exposure over 24 weeks (AUC 0-Wk24) with an estimated geometric mean ratio (GMR) of 1.21 (with a lower bound of the 90% confidence interval at 1.15), as compared to IV BRIUMVI</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every other month subcutaneous dosing regimen that is also being evaluated in the Phase 3 trial, would achieve non-inferior total drug exposure over 24 weeks (AUC 0-Wk24) with an estimated GMR of 1.58 (with a lower bound of the 90% confidence interval at 1.50), as compared to IV BRIUMVI</w:t>
      </w:r>
    </w:p>
    <w:p>
      <w:pPr>
        <w:spacing w:after="0" w:line="1"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bound of the 90% confidence intervals for both dosing regimens being evaluated in Phase 3 would exceed the threshold required to establish non-inferiority (&gt;0.80), which is the primary endpoint of the ongoing Phase 3 trial.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Pharmacodynamics (Biologic Activity):</w:t>
      </w:r>
    </w:p>
    <w:p>
      <w:pPr>
        <w:spacing w:after="0" w:line="31" w:lineRule="exact"/>
        <w:rPr>
          <w:sz w:val="20"/>
          <w:szCs w:val="20"/>
          <w:color w:val="auto"/>
        </w:rPr>
      </w:pP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subcutaneous BRIUMVI resulted in B-cell depletion consistent with IV BRIUMVI, supporting the biological activity of the subcutaneous formulation.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&amp; Tolerability:</w:t>
      </w:r>
    </w:p>
    <w:p>
      <w:pPr>
        <w:spacing w:after="0" w:line="229"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Subcutaneous administration was generally well tolerated, with treatment-emergent adverse events (TEAEs) consistent with the known safety profile of IV BRIUMVI.</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injection-site reactions were infrequent, occurring in less than 5% of patients, and systemic injection-related reactions occurred in approximately 21% of patients. Local and systemic injection reactions were not dose dependent and predominantly occurred at the first injection and resolved in 100% of patients.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injection-site reactions and no new safety signals were observed.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Phase 1 data, including the observed safety profile and modeled PK results, support the quarterly subcutaneous dosing regimen being evaluated in the Phase 3 trial.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Phase 3 dose of 400 mg in a 2mL injection is consistent with a volume that is suitable for at-home self-administration via an autoinjector device, which will be evaluated in a separate device bridging study to commence later this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data through 24-weeks from this Phase 1 trial are expected to be presented at a future medical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393"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PHASE 3 SUBCUTANEOUS BRIUMVI TRIAL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Phase 3 trial is a randomized, open-label, parallel-group, multicenter trial designed to evaluate a quarterly and every other month dosing regimen of subcutaneous BRIUMVI compared to the approved IV regimen of BRIUMVI in adults with RMS.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endpoint of the Phase 3 trial is to demonstrate non-inferior drug exposure (levels in the blood) after administration of subcutaneous BRIUMVI compared to IV BRIUMVI over 24 weeks. Overall drug exposure for each arm is measured by area under the serum concentration-time curve from baseline through Week 24 (AUC 0-Wk24). AUC values within each treatment arm are summarized using geometric means and then compared between treatment arms using a ratio of those geometric means (GMR). Non-inferiority is achieved if the lower bound of the 90% confidence interval for the GMR of subcutaneous BRIUMVI relative to IV BRIUMVI is &gt;0.80.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endpoints include additional pharmacokinetic parameters, pharmacodynamics, safety, and radiological effects.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 the Phase 3 trial were randomized into one of three treatment arms: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Arm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IV BRIUMVI (approved regimen):</w:t>
      </w:r>
    </w:p>
    <w:p>
      <w:pPr>
        <w:spacing w:after="0" w:line="31" w:lineRule="exact"/>
        <w:rPr>
          <w:sz w:val="20"/>
          <w:szCs w:val="20"/>
          <w:color w:val="auto"/>
        </w:rPr>
      </w:pPr>
    </w:p>
    <w:p>
      <w:pPr>
        <w:ind w:right="5420"/>
        <w:spacing w:after="0" w:line="260" w:lineRule="auto"/>
        <w:rPr>
          <w:sz w:val="20"/>
          <w:szCs w:val="20"/>
          <w:color w:val="auto"/>
        </w:rPr>
      </w:pPr>
      <w:r>
        <w:rPr>
          <w:rFonts w:ascii="Times New Roman" w:cs="Times New Roman" w:eastAsia="Times New Roman" w:hAnsi="Times New Roman"/>
          <w:sz w:val="18"/>
          <w:szCs w:val="18"/>
          <w:color w:val="auto"/>
        </w:rPr>
        <w:t xml:space="preserve">150 mg on Day 1 and 450mg on Day 15, Week 24 and every 24 weeks thereafter Total dose administered through Week 24: </w:t>
      </w:r>
      <w:r>
        <w:rPr>
          <w:rFonts w:ascii="Times New Roman" w:cs="Times New Roman" w:eastAsia="Times New Roman" w:hAnsi="Times New Roman"/>
          <w:sz w:val="18"/>
          <w:szCs w:val="18"/>
          <w:b w:val="1"/>
          <w:bCs w:val="1"/>
          <w:color w:val="auto"/>
        </w:rPr>
        <w:t>600 mg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Arm 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Subcutaneous BRIUMVI (every-other-month dosing)</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5600"/>
        <w:spacing w:after="0" w:line="260" w:lineRule="auto"/>
        <w:rPr>
          <w:sz w:val="20"/>
          <w:szCs w:val="20"/>
          <w:color w:val="auto"/>
        </w:rPr>
      </w:pPr>
      <w:r>
        <w:rPr>
          <w:rFonts w:ascii="Times New Roman" w:cs="Times New Roman" w:eastAsia="Times New Roman" w:hAnsi="Times New Roman"/>
          <w:sz w:val="18"/>
          <w:szCs w:val="18"/>
          <w:color w:val="auto"/>
        </w:rPr>
        <w:t xml:space="preserve">400 mg administered on Day 1, Day 15, Week 8, and every 8 weeks thereafter Total dose administered through Week 24: </w:t>
      </w:r>
      <w:r>
        <w:rPr>
          <w:rFonts w:ascii="Times New Roman" w:cs="Times New Roman" w:eastAsia="Times New Roman" w:hAnsi="Times New Roman"/>
          <w:sz w:val="18"/>
          <w:szCs w:val="18"/>
          <w:b w:val="1"/>
          <w:bCs w:val="1"/>
          <w:color w:val="auto"/>
        </w:rPr>
        <w:t>1,600 mg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Arm 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Subcutaneous BRIUMVI (quarterly dosing):</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color w:val="auto"/>
        </w:rPr>
        <w:t xml:space="preserve">400 mg administered on Day 1 and 15, and Week 12, and every 12 weeks thereafter Total dose administered through Week 24: </w:t>
      </w:r>
      <w:r>
        <w:rPr>
          <w:rFonts w:ascii="Times New Roman" w:cs="Times New Roman" w:eastAsia="Times New Roman" w:hAnsi="Times New Roman"/>
          <w:sz w:val="18"/>
          <w:szCs w:val="18"/>
          <w:b w:val="1"/>
          <w:bCs w:val="1"/>
          <w:color w:val="auto"/>
        </w:rPr>
        <w:t>1,200 mg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3 trial has completed enrollment, and topline results are expected in late 2026 or early 2027.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(ublituximab-xiiy) 150 mg/6 mL Injection for IV</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non-U.S. jurisdictions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authorized specialty distributors can be found at www.briumvi.com</w:t>
      </w:r>
      <w:r>
        <w:rPr>
          <w:rFonts w:ascii="Times New Roman" w:cs="Times New Roman" w:eastAsia="Times New Roman" w:hAnsi="Times New Roman"/>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2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Progressive Multifocal Leukoencephalopathy (PML): </w:t>
      </w:r>
      <w:r>
        <w:rPr>
          <w:rFonts w:ascii="Times New Roman" w:cs="Times New Roman" w:eastAsia="Times New Roman" w:hAnsi="Times New Roman"/>
          <w:sz w:val="18"/>
          <w:szCs w:val="18"/>
          <w:color w:val="auto"/>
        </w:rPr>
        <w:t>PML is an opportunistic viral infection of the brain caused by the JC virus (JCV) that typically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in patients who are immunocompromised, and that usually leads to death or severe disability. JCV infection resulting in PML has been observed in patients treated with anti-CD20 antibodies, including BRIUMVI, and other MS therapies.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Vaccination of Infants Born to Mothers Treated with BRIUMVI During Pregnancy: </w:t>
      </w:r>
      <w:r>
        <w:rPr>
          <w:rFonts w:ascii="Times New Roman" w:cs="Times New Roman" w:eastAsia="Times New Roman" w:hAnsi="Times New Roman"/>
          <w:sz w:val="17"/>
          <w:szCs w:val="17"/>
          <w:color w:val="auto"/>
        </w:rPr>
        <w:t>In infants of mothers exposed to BRIUMVI during pregnancy, assess B-cell counts prior to administration of live or live-attenuated vaccines as measured by CD19</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 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Physicians, pharmacists, or other healthcare professionals with questions about BRIUMVI should visit </w:t>
      </w:r>
      <w:r>
        <w:rPr>
          <w:rFonts w:ascii="Times New Roman" w:cs="Times New Roman" w:eastAsia="Times New Roman" w:hAnsi="Times New Roman"/>
          <w:sz w:val="18"/>
          <w:szCs w:val="18"/>
          <w:u w:val="single" w:color="auto"/>
          <w:color w:val="auto"/>
        </w:rPr>
        <w:t>www.briumvi.com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The full Summary of Product Characteristics approved in the European Union (EU) for BRIUMVI can be found here</w:t>
      </w:r>
      <w:r>
        <w:rPr>
          <w:rFonts w:ascii="Times New Roman" w:cs="Times New Roman" w:eastAsia="Times New Roman" w:hAnsi="Times New Roman"/>
          <w:sz w:val="18"/>
          <w:szCs w:val="18"/>
          <w:color w:val="auto"/>
        </w:rPr>
        <w:t xml:space="preserve"> Briumvi | European Medicines </w:t>
      </w:r>
      <w:r>
        <w:rPr>
          <w:rFonts w:ascii="Times New Roman" w:cs="Times New Roman" w:eastAsia="Times New Roman" w:hAnsi="Times New Roman"/>
          <w:sz w:val="18"/>
          <w:szCs w:val="18"/>
          <w:u w:val="single" w:color="auto"/>
          <w:color w:val="auto"/>
        </w:rPr>
        <w:t>Agency (europa.eu).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-185420</wp:posOffset>
            </wp:positionV>
            <wp:extent cx="1064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w:t>
      </w:r>
      <w:r>
        <w:rPr>
          <w:rFonts w:ascii="Times New Roman" w:cs="Times New Roman" w:eastAsia="Times New Roman" w:hAnsi="Times New Roman"/>
          <w:sz w:val="18"/>
          <w:szCs w:val="18"/>
          <w:color w:val="auto"/>
        </w:rPr>
        <w:t xml:space="preserve">s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 is a registered trademark of TG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forward looking statements include but are not limited to statements regarding our plans, business strategies and operations related to the commercialization of BRIUMVI®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expectations and timing for our subcutaneous BRIUMVI program, including feasibility, approvability and commercial acceptance, expectations and timing for our ENHANCE Phase 3b trial combining day 1 and day 15 doses, including, feasibility, approvability and commercial acceptance and impact on BRIUMVI sales, and expectations and timing for any of our pipeline products or programs, including Azer-cel or BRIUMVI in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including (i) completing a pivotal program for subcutaneous ublituximab, (ii) enrolling patients into a trial evaluating BRIUMVI in MG, or (iii) enrolling patients into a trial evaluating azer-cel; the risk that clinical trial data readouts may be delayed due to a number of factors including enrollment, data collection, data maturity or other factors; the risk that despite positive Phase 1 data projecting a positive outcome, that the Phase 3 subcutaneous BRIUMVI program will not meet the primary endpoint, or if it successfully meets the primary endpoint, still will not lead to the approval of subcutaneous BRIUMVI by the FDA or other regulatory authorities or, if approved, will not achieve commercial acceptance; the risk that, if subcutaneous BRIUMVI is approved and achieves commercial acceptance, the anticipated expansion of the addressable market will not be realized; the risk that the Phase 3b ENHANCE trial despite being successful will not lead to an approval by the FDA or achieve commercial acceptance for a consolidated initiation regimen; the risk that we will not move forward with the development of BRIUMVI in MG and Azer-Cel following these preliminary studies; the uncertainties generally inherent in research and development, including the risk that the data from Phase 1 studies, including safety and efficacy, may not be replicated in Phase 3 studies conducted in larger populations with longer follow-up;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2025 and in our other filings with the SEC.</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The information found on our website is not incorporated by reference into this press release and is included for reference purposes only.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0" w:lineRule="exact"/>
        <w:rPr>
          <w:sz w:val="20"/>
          <w:szCs w:val="20"/>
          <w:color w:val="auto"/>
        </w:rPr>
      </w:pPr>
    </w:p>
    <w:p>
      <w:pPr>
        <w:spacing w:after="0" w:line="241" w:lineRule="exact"/>
        <w:rPr>
          <w:sz w:val="20"/>
          <w:szCs w:val="20"/>
          <w:color w:val="auto"/>
        </w:rPr>
      </w:pPr>
    </w:p>
    <w:p>
      <w:pPr>
        <w:ind w:right="120" w:firstLine="8"/>
        <w:spacing w:after="0" w:line="335" w:lineRule="auto"/>
        <w:tabs>
          <w:tab w:leader="none" w:pos="157"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MS Prevalence. National Multiple Sclerosis Society website. </w:t>
      </w:r>
      <w:r>
        <w:rPr>
          <w:rFonts w:ascii="Times New Roman" w:cs="Times New Roman" w:eastAsia="Times New Roman" w:hAnsi="Times New Roman"/>
          <w:sz w:val="15"/>
          <w:szCs w:val="15"/>
          <w:u w:val="single" w:color="auto"/>
          <w:color w:val="auto"/>
        </w:rPr>
        <w:t>https://www.nationalmssociety.org/About-the-Society/MS-Prevalence</w:t>
      </w:r>
      <w:r>
        <w:rPr>
          <w:rFonts w:ascii="Times New Roman" w:cs="Times New Roman" w:eastAsia="Times New Roman" w:hAnsi="Times New Roman"/>
          <w:sz w:val="15"/>
          <w:szCs w:val="15"/>
          <w:color w:val="auto"/>
        </w:rPr>
        <w:t xml:space="preserve">. Accessed October 26, 2020.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Multiple Sclerosis International Federation, 2013 via Datamonitor p. 236.</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2026-06-03T06:35:40Z</dcterms:created>
  <dcterms:modified xsi:type="dcterms:W3CDTF">2026-06-03T06:35:40Z</dcterms:modified>
</cp:coreProperties>
</file>