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w:t>
      </w:r>
      <w:r>
        <w:rPr>
          <w:rFonts w:ascii="Times New Roman" w:cs="Times New Roman" w:eastAsia="Times New Roman" w:hAnsi="Times New Roman"/>
          <w:sz w:val="17"/>
          <w:szCs w:val="17"/>
          <w:b w:val="1"/>
          <w:bCs w:val="1"/>
          <w:color w:val="auto"/>
        </w:rPr>
        <w:t>March 18, 2026</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TG Therapeutics,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240"/>
          </w:cols>
          <w:pgMar w:left="320" w:top="603" w:right="339" w:bottom="1440" w:gutter="0" w:footer="0" w:header="0"/>
        </w:sectPr>
      </w:pPr>
    </w:p>
    <w:p>
      <w:pPr>
        <w:spacing w:after="0" w:line="203"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001-32639</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36-3898269</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900" w:space="720"/>
            <w:col w:w="2780" w:space="720"/>
            <w:col w:w="3120"/>
          </w:cols>
          <w:pgMar w:left="320" w:top="603" w:right="33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3020 Carrington Mill Blvd, Suite 475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Morrisville, North Carolina 27560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554-4484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603" w:right="339" w:bottom="1440" w:gutter="0" w:footer="0" w:header="0"/>
          <w:type w:val="continuous"/>
        </w:sectPr>
      </w:pPr>
    </w:p>
    <w:p>
      <w:pPr>
        <w:spacing w:after="0" w:line="21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9"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filed pursuant to Section 12(b) of the Act:</w:t>
      </w:r>
    </w:p>
    <w:tbl>
      <w:tblPr>
        <w:tblLayout w:type="fixed"/>
        <w:tblInd w:w="10" w:type="dxa"/>
        <w:tblCellMar>
          <w:top w:w="0" w:type="dxa"/>
          <w:left w:w="0" w:type="dxa"/>
          <w:bottom w:w="0" w:type="dxa"/>
          <w:right w:w="0" w:type="dxa"/>
        </w:tblCellMar>
      </w:tblPr>
      <w:tr>
        <w:trPr>
          <w:trHeight w:val="231"/>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Exchange Name</w:t>
            </w:r>
          </w:p>
        </w:tc>
      </w:tr>
      <w:tr>
        <w:trPr>
          <w:trHeight w:val="193"/>
        </w:trPr>
        <w:tc>
          <w:tcPr>
            <w:tcW w:w="37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w:t>
            </w:r>
          </w:p>
        </w:tc>
        <w:tc>
          <w:tcPr>
            <w:tcW w:w="37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TGTX</w:t>
            </w:r>
          </w:p>
        </w:tc>
        <w:tc>
          <w:tcPr>
            <w:tcW w:w="37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9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Material Definitive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18, 2026 (the “Closing Date”), the Company (the “Borrower”) entered into the first amendment agreement, dated as of the Closing Date (the “First Amendment”), by and among the Borrower, certain subsidiaries of the Borrower, as guarantors, the lenders party thereto and Blue Owl Capital Corporation, as administrative agent (the “Administrative Agent”), which amends the financing agreement, dated as of August 2, 2024 (as amended, restated, amended and restated, supplemented or otherwise modified from to time to time prior to the date hereof and by the First Amendment, the “Financing Agreement”), by and among the Borrower, the guarantors party thereto, the Administrative Agent and the lenders party thereto from time to time. Pursuant to the First Amendment, the Borrower established (i) a $750 million term loan facility (the “2026 Term Loan”), which was borrowed in full on the Closing Date, with a portion of the proceeds used to repay in full the Initial Term Loans (as defined in the First Amendment), and (ii) an uncommitted additional facility in an aggregate principal amount of up to $250 million.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2026 Term Loan will mature on March 18, 2031 (the “Term Loan Maturity Date”). The 2026 Term Loan accrues interest at a per annum rate of interest equal to an applicable margin plus, at the Borrower’s option, either (a) a base rate determined by reference to the highest of (1) the prime rate published by the Wall Street Journal, (2) the federal funds effective rate plus 0.50% per annum, (3) Term SOFR plus 1.00% per annum and (4) 2.00% per annum or (b) Term SOFR, which shall be no less than 1.00% per annum. The applicable margin for borrowings of the 2026 Term Loan is determined on a quarterly basis by reference to a pricing grid based on the Total Net Leverage Ratio (as defined in the First Amendment) for the most recently completed four consecutive fiscal quarters of the Borrower and its subsidiaries.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pricing grid commences at 4.75% for SOFR borrowings and 3.75% for base rate borrowings and is subject to a 25 basis point step-down upon achievement of a specified Total Net Leverage Ratio threshold. The 2026 Term Loan requires scheduled quarterly amortization payments, commencing with the fiscal quarter ending March 31, 2030, in an amount equal to $37.5 million, with the balance due and payable on the Term Loan Maturity Date; provided that such amortization payments may be deferred to the Term Loan Maturity Date upon the achievement of a Total Net Leverage Ratio that is less than or equal to an agreed threshold.</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2026 Term Loan is secured by a lien on substantially all of the assets of the Borrower and certain subsidiaries of the Borrower as guarantors (collectively, the “Loan Parties”) and contains customary covenants and representations.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events of default under the Financing Agreement are customary for financings of this type. If an event of default occurs, the Administrative Agent is entitled to take enforcement action, including acceleration of amounts due under the Financing Agreement.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description of the First Amendment contained herein does not purport to be complete and is qualified in its entirety by reference to the complete text of the First Amendment, which will be filed as an exhibit to the Company’s Quarterly Report on Form 10-Q for the period ending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1.01 of this Current Report on Form 8-K is incorporated into this Item 2.03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0"/>
                <w:szCs w:val="20"/>
                <w:color w:val="auto"/>
              </w:rPr>
            </w:pPr>
          </w:p>
        </w:tc>
        <w:tc>
          <w:tcPr>
            <w:tcW w:w="10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9"/>
                <w:szCs w:val="19"/>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556"/>
        </w:trPr>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TG Therapeutics, Inc.</w:t>
            </w:r>
          </w:p>
        </w:tc>
      </w:tr>
      <w:tr>
        <w:trPr>
          <w:trHeight w:val="234"/>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20, 2026</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Sean A. Power</w:t>
            </w:r>
          </w:p>
        </w:tc>
      </w:tr>
      <w:tr>
        <w:trPr>
          <w:trHeight w:val="191"/>
        </w:trPr>
        <w:tc>
          <w:tcPr>
            <w:tcW w:w="36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160" w:type="dxa"/>
            <w:vAlign w:val="bottom"/>
            <w:tcBorders>
              <w:top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Sean A. Power</w:t>
            </w:r>
          </w:p>
        </w:tc>
      </w:tr>
      <w:tr>
        <w:trPr>
          <w:trHeight w:val="234"/>
        </w:trPr>
        <w:tc>
          <w:tcPr>
            <w:tcW w:w="3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2026-03-20T15:42:01Z</dcterms:created>
  <dcterms:modified xsi:type="dcterms:W3CDTF">2026-03-20T15:42:01Z</dcterms:modified>
</cp:coreProperties>
</file>