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0001561958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1"/>
        <w:gridCol w:w="4704"/>
      </w:tblGrid>
      <w:tr>
        <w:trPr/>
        <w:tc>
          <w:tcPr>
            <w:tcW w:w="5501" w:type="dxa"/>
            <w:tcBorders/>
            <w:vAlign w:val="center"/>
          </w:tcPr>
          <w:p>
            <w:pPr>
              <w:pStyle w:val="TableContents"/>
              <w:bidi w:val="0"/>
              <w:spacing w:before="0" w:after="283"/>
              <w:jc w:val="left"/>
              <w:rPr/>
            </w:pPr>
            <w:r>
              <w:rPr/>
              <w:t>Name of Issuer</w:t>
            </w:r>
          </w:p>
        </w:tc>
        <w:tc>
          <w:tcPr>
            <w:tcW w:w="4704" w:type="dxa"/>
            <w:tcBorders/>
            <w:vAlign w:val="center"/>
          </w:tcPr>
          <w:p>
            <w:pPr>
              <w:pStyle w:val="TableContents"/>
              <w:bidi w:val="0"/>
              <w:spacing w:before="0" w:after="0"/>
              <w:jc w:val="left"/>
              <w:rPr/>
            </w:pPr>
            <w:r>
              <w:rPr/>
              <w:t>TG THERAPEUTICS, INC.</w:t>
            </w:r>
          </w:p>
        </w:tc>
      </w:tr>
      <w:tr>
        <w:trPr/>
        <w:tc>
          <w:tcPr>
            <w:tcW w:w="5501" w:type="dxa"/>
            <w:tcBorders/>
            <w:vAlign w:val="center"/>
          </w:tcPr>
          <w:p>
            <w:pPr>
              <w:pStyle w:val="TableContents"/>
              <w:bidi w:val="0"/>
              <w:spacing w:before="0" w:after="283"/>
              <w:jc w:val="left"/>
              <w:rPr/>
            </w:pPr>
            <w:r>
              <w:rPr/>
              <w:t>SEC File Number</w:t>
            </w:r>
          </w:p>
        </w:tc>
        <w:tc>
          <w:tcPr>
            <w:tcW w:w="4704" w:type="dxa"/>
            <w:tcBorders/>
            <w:vAlign w:val="center"/>
          </w:tcPr>
          <w:p>
            <w:pPr>
              <w:pStyle w:val="TableContents"/>
              <w:bidi w:val="0"/>
              <w:spacing w:before="0" w:after="0"/>
              <w:jc w:val="left"/>
              <w:rPr/>
            </w:pPr>
            <w:r>
              <w:rPr/>
              <w:t>001-32639</w:t>
            </w:r>
          </w:p>
        </w:tc>
      </w:tr>
      <w:tr>
        <w:trPr/>
        <w:tc>
          <w:tcPr>
            <w:tcW w:w="5501" w:type="dxa"/>
            <w:tcBorders/>
            <w:vAlign w:val="center"/>
          </w:tcPr>
          <w:p>
            <w:pPr>
              <w:pStyle w:val="TableContents"/>
              <w:bidi w:val="0"/>
              <w:spacing w:before="0" w:after="283"/>
              <w:jc w:val="left"/>
              <w:rPr/>
            </w:pPr>
            <w:r>
              <w:rPr/>
              <w:t>Address of Issuer</w:t>
            </w:r>
          </w:p>
        </w:tc>
        <w:tc>
          <w:tcPr>
            <w:tcW w:w="4704" w:type="dxa"/>
            <w:tcBorders/>
            <w:vAlign w:val="center"/>
          </w:tcPr>
          <w:p>
            <w:pPr>
              <w:pStyle w:val="TableContents"/>
              <w:bidi w:val="0"/>
              <w:spacing w:before="0" w:after="0"/>
              <w:jc w:val="left"/>
              <w:rPr/>
            </w:pPr>
            <w:r>
              <w:rPr/>
              <w:t>2 GANSEVOORT STREET, 9TH FLOOR</w:t>
              <w:br/>
              <w:t>NEW YORK</w:t>
              <w:br/>
              <w:t xml:space="preserve">NEW YORK </w:t>
              <w:br/>
              <w:t>10014</w:t>
            </w:r>
          </w:p>
        </w:tc>
      </w:tr>
      <w:tr>
        <w:trPr/>
        <w:tc>
          <w:tcPr>
            <w:tcW w:w="5501" w:type="dxa"/>
            <w:tcBorders/>
            <w:vAlign w:val="center"/>
          </w:tcPr>
          <w:p>
            <w:pPr>
              <w:pStyle w:val="TableContents"/>
              <w:bidi w:val="0"/>
              <w:spacing w:before="0" w:after="283"/>
              <w:jc w:val="left"/>
              <w:rPr/>
            </w:pPr>
            <w:r>
              <w:rPr/>
              <w:t>Phone</w:t>
            </w:r>
          </w:p>
        </w:tc>
        <w:tc>
          <w:tcPr>
            <w:tcW w:w="4704" w:type="dxa"/>
            <w:tcBorders/>
            <w:vAlign w:val="center"/>
          </w:tcPr>
          <w:p>
            <w:pPr>
              <w:pStyle w:val="TableContents"/>
              <w:bidi w:val="0"/>
              <w:spacing w:before="0" w:after="0"/>
              <w:jc w:val="left"/>
              <w:rPr/>
            </w:pPr>
            <w:r>
              <w:rPr/>
              <w:t>(212) 554-4484</w:t>
            </w:r>
          </w:p>
        </w:tc>
      </w:tr>
      <w:tr>
        <w:trPr/>
        <w:tc>
          <w:tcPr>
            <w:tcW w:w="5501" w:type="dxa"/>
            <w:tcBorders/>
            <w:vAlign w:val="center"/>
          </w:tcPr>
          <w:p>
            <w:pPr>
              <w:pStyle w:val="TableContents"/>
              <w:bidi w:val="0"/>
              <w:spacing w:before="0" w:after="283"/>
              <w:jc w:val="left"/>
              <w:rPr/>
            </w:pPr>
            <w:r>
              <w:rPr/>
              <w:t>Name of Person for Whose Account the Securities are To Be Sold</w:t>
            </w:r>
          </w:p>
        </w:tc>
        <w:tc>
          <w:tcPr>
            <w:tcW w:w="4704" w:type="dxa"/>
            <w:tcBorders/>
            <w:vAlign w:val="center"/>
          </w:tcPr>
          <w:p>
            <w:pPr>
              <w:pStyle w:val="TableContents"/>
              <w:bidi w:val="0"/>
              <w:spacing w:before="0" w:after="0"/>
              <w:jc w:val="left"/>
              <w:rPr/>
            </w:pPr>
            <w:r>
              <w:rPr/>
              <w:t>Echelard Yann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1" w:type="dxa"/>
            <w:tcBorders/>
            <w:vAlign w:val="center"/>
          </w:tcPr>
          <w:p>
            <w:pPr>
              <w:pStyle w:val="TableContents"/>
              <w:bidi w:val="0"/>
              <w:spacing w:before="0" w:after="283"/>
              <w:jc w:val="left"/>
              <w:rPr/>
            </w:pPr>
            <w:r>
              <w:rPr/>
              <w:t>Relationship to Issuer</w:t>
            </w:r>
          </w:p>
        </w:tc>
        <w:tc>
          <w:tcPr>
            <w:tcW w:w="470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5000</w:t>
            </w:r>
          </w:p>
        </w:tc>
        <w:tc>
          <w:tcPr>
            <w:tcW w:w="1377" w:type="dxa"/>
            <w:tcBorders/>
            <w:vAlign w:val="center"/>
          </w:tcPr>
          <w:p>
            <w:pPr>
              <w:pStyle w:val="TableContents"/>
              <w:bidi w:val="0"/>
              <w:spacing w:before="0" w:after="283"/>
              <w:jc w:val="left"/>
              <w:rPr/>
            </w:pPr>
            <w:r>
              <w:rPr/>
              <w:t>162850.00</w:t>
            </w:r>
          </w:p>
        </w:tc>
        <w:tc>
          <w:tcPr>
            <w:tcW w:w="1552" w:type="dxa"/>
            <w:tcBorders/>
            <w:vAlign w:val="center"/>
          </w:tcPr>
          <w:p>
            <w:pPr>
              <w:pStyle w:val="TableContents"/>
              <w:bidi w:val="0"/>
              <w:spacing w:before="0" w:after="283"/>
              <w:jc w:val="left"/>
              <w:rPr/>
            </w:pPr>
            <w:r>
              <w:rPr/>
              <w:t>158759451</w:t>
            </w:r>
          </w:p>
        </w:tc>
        <w:tc>
          <w:tcPr>
            <w:tcW w:w="1567" w:type="dxa"/>
            <w:tcBorders/>
            <w:vAlign w:val="center"/>
          </w:tcPr>
          <w:p>
            <w:pPr>
              <w:pStyle w:val="TableContents"/>
              <w:bidi w:val="0"/>
              <w:spacing w:before="0" w:after="283"/>
              <w:jc w:val="left"/>
              <w:rPr/>
            </w:pPr>
            <w:r>
              <w:rPr/>
              <w:t>11/24/2025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5000</w:t>
            </w:r>
          </w:p>
        </w:tc>
        <w:tc>
          <w:tcPr>
            <w:tcW w:w="1046" w:type="dxa"/>
            <w:tcBorders/>
            <w:vAlign w:val="center"/>
          </w:tcPr>
          <w:p>
            <w:pPr>
              <w:pStyle w:val="TableContents"/>
              <w:bidi w:val="0"/>
              <w:spacing w:before="0" w:after="283"/>
              <w:jc w:val="left"/>
              <w:rPr/>
            </w:pPr>
            <w:r>
              <w:rPr/>
              <w:t>06/04/2025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283"/>
              <w:jc w:val="left"/>
              <w:rPr>
                <w:sz w:val="4"/>
                <w:szCs w:val="4"/>
              </w:rPr>
            </w:pPr>
            <w:r>
              <w:rPr>
                <w:sz w:val="4"/>
                <w:szCs w:val="4"/>
              </w:rPr>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 Joshua Schmitt, as a duly authorized representative of Fidelity Brokerage Services LLC, as attorney-in-fact for Yann Echelard.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2989</Characters>
  <CharactersWithSpaces>3523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