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6,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001-32639</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of Incorporation)</w:t>
            </w:r>
          </w:p>
        </w:tc>
        <w:tc>
          <w:tcPr>
            <w:tcW w:w="4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3020 Carrington Mill Blvd, Suite 475</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 27560</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(212) 554-4484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Name</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May 6, 2026, the Company issued a press release announcing results of operations for the three months ended March 31, 2026. A copy of such press release is being furnished as Exhibit 99.1.</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TG Therapeutics, Inc., dated May 6, 2026.</w:t>
      </w:r>
    </w:p>
    <w:p>
      <w:pPr>
        <w:spacing w:after="0" w:line="225"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 /s/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Sean A. Power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 Reports First Quarter 2026 Financial Results and Raises BRIUMVI Revenue Guidance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2026 total global revenue of approximately $205 million, including BRIUMVI U.S. net revenue of approximately $195 million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Raises full year 2026 total global revenue target to approximately $925 million and raises full year 2026 BRIUMVI U.S. net product revenue target to $885-900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 call to be held today, Wednesday, May 6, 2026, at 8:30 AM ET</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New York, NY, </w:t>
      </w:r>
      <w:r>
        <w:rPr>
          <w:rFonts w:ascii="Times New Roman" w:cs="Times New Roman" w:eastAsia="Times New Roman" w:hAnsi="Times New Roman"/>
          <w:sz w:val="18"/>
          <w:szCs w:val="18"/>
          <w:b w:val="1"/>
          <w:bCs w:val="1"/>
          <w:color w:val="auto"/>
        </w:rPr>
        <w:t>(May 6, 2026</w:t>
      </w:r>
      <w:r>
        <w:rPr>
          <w:rFonts w:ascii="Times New Roman" w:cs="Times New Roman" w:eastAsia="Times New Roman" w:hAnsi="Times New Roman"/>
          <w:sz w:val="18"/>
          <w:szCs w:val="18"/>
          <w:color w:val="auto"/>
        </w:rPr>
        <w:t>) – TG Therapeutics, Inc. (NASDAQ: TGTX) (the Company or TG Therapeutics) today announced its financial results for the first quarter of 2026, along with recent company developments and provided an update on 2026 financial guidance.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Michael S. Weiss, the Company’s Chairman and Chief Executive Officer, stated, “We are off to a strong start in 2026, with BRIUMVI performance exceeding expectations and momentum continuing to build. Growth is being driven by strong underlying demand, record new patient starts, and consistent commercial execution— reinforcing our belief that we remain early in the adoption curve for BRIUMVI. Based on this performance, we are significantly increasing our full-year U.S. BRIUMVI revenue guidance to $885-900 million and continue to see the brand as having a multi-billion-dollar potential before considering the impact of a subcutaneous BRIUMVI currently under development. With multiple near-term clinical catalysts and ongoing efforts to expand the franchise, we believe BRIUMVI is well-positioned to become a leading therapy in MS and a durable, long-term growth driver for TG.”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&amp; Developments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(ublituximab-xiiy) Commercialization</w:t>
      </w:r>
    </w:p>
    <w:p>
      <w:pPr>
        <w:spacing w:after="0" w:line="31" w:lineRule="exact"/>
        <w:rPr>
          <w:sz w:val="20"/>
          <w:szCs w:val="20"/>
          <w:color w:val="auto"/>
        </w:rPr>
      </w:pP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BRIUMVI U.S. net product revenue of $194.8 million for the first quarter 2026, representing approximately 63% quarterly growth over the same period last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 Data Presentations &amp; Publications</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two articles in medical journals:</w:t>
      </w:r>
    </w:p>
    <w:p>
      <w:pPr>
        <w:spacing w:after="0" w:line="9" w:lineRule="exact"/>
        <w:rPr>
          <w:sz w:val="20"/>
          <w:szCs w:val="20"/>
          <w:color w:val="auto"/>
        </w:rPr>
      </w:pPr>
    </w:p>
    <w:p>
      <w:pPr>
        <w:jc w:val="both"/>
        <w:ind w:left="130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2026: “Efficacy of Ublituximab in People with Highly Active Relapsing Multiple Sclerosis”, published in Neurology and Therapy, highlighting data from a post hoc pooled analysis of the Phase 3 ULTIMATE I and II studies evaluating BRIUMVI in people with highly active RMS.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2026: “Five Years of Ublituximab in Multiple Sclerosis: ULTIMATE I and II Open-Label Extension (OLE) Study”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published in JAMA Neurology, highlighting five-year data from the OLE of the ULTIMATE I and II trials.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into the randomized Phase 3 pivotal program evaluating subcutaneous BRIUMVI</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into the randomized Phase 3 pivotal program to evaluate a consolidated Day 1 and Day 15 dosing regimen for intravenous (IV) BRIUMVI in the ongoing ENHANCE trial</w:t>
      </w:r>
    </w:p>
    <w:p>
      <w:pPr>
        <w:ind w:left="660" w:right="2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for patients with progressive multiple sclerosis into the ongoing Phase 1 clinical trial evaluating azer-cel for the treatment of autoimmune diseases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Update</w:t>
      </w:r>
    </w:p>
    <w:p>
      <w:pPr>
        <w:spacing w:after="0" w:line="31" w:lineRule="exact"/>
        <w:rPr>
          <w:sz w:val="20"/>
          <w:szCs w:val="20"/>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additional $500 million in non-dilutive capital from Blue Owl Capital and expanded our second share repurchase program from $100 million to $300 million, of which $200 million is remaining</w:t>
      </w:r>
    </w:p>
    <w:p>
      <w:pPr>
        <w:ind w:left="660" w:right="2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inception of the first share repurchase program in 2024, and as of April 30, 2026, TG has repurchased a total of $200 million of common stock at an average price of $29.28 per share, of which $100 million was completed during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Financial Guidance</w:t>
      </w:r>
    </w:p>
    <w:p>
      <w:pPr>
        <w:spacing w:after="0" w:line="3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Raises full year 2026 target total global revenue to approximately $925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Raises full year 2026 target BRIUMVI U.S. net product revenue to approximately $885 - $900 million (prior guidance of $825-$850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second quarter 2026 target BRIUMVI U.S. net product revenue of approximately $220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2026 target operating expense, defined as R&amp;D and SG&amp;A, of approximately $350 million excluding non-cash compensation, in addition to approximately $100 million in expenses associated with the subcutaneous BRIUMVI manufacturing costs and secondary manufacturer start-up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Development Pipeline Anticipated Milestones</w:t>
      </w:r>
    </w:p>
    <w:p>
      <w:pPr>
        <w:spacing w:after="0" w:line="3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Phase 3 data for ENHANCE trial combining Day 1 and Day 15 doses of IV BRIUMVI mid-year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preliminary Phase 1 azer-cel data in Progressive MS in the second half of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Phase 3 data for subcutaneous BRIUMVI (ublituximab) year-end 2026/first quarter 2027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potentially registration-directed trial for BRIUMVI in Myasthenia Gravis (MG)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additional exploratory studies for BRIUMVI and azer-cel in autoimmune disease (outside 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First Quarter 2026</w:t>
      </w:r>
    </w:p>
    <w:p>
      <w:pPr>
        <w:spacing w:after="0" w:line="31" w:lineRule="exact"/>
        <w:rPr>
          <w:sz w:val="20"/>
          <w:szCs w:val="20"/>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Revenue, net</w:t>
      </w:r>
      <w:r>
        <w:rPr>
          <w:rFonts w:ascii="Times New Roman" w:cs="Times New Roman" w:eastAsia="Times New Roman" w:hAnsi="Times New Roman"/>
          <w:sz w:val="18"/>
          <w:szCs w:val="18"/>
          <w:color w:val="auto"/>
        </w:rPr>
        <w:t>: Product revenue, net was $201.3 million for the three months ended March 31, 2026, compared to $119.7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March 31, 2025. Product revenue, net consists primarily of net product sales of BRIUMVI in the United States, which totaled $194.8 million during the three months ended March 31, 2026. Also included in product revenue, net for the three months ended March 31, 2026 is sales of BRIUMVI to our ex-U.S. licensing partner, Neuraxpharm, of $6.5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approximately $3.6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2026 compared to approximately $1.2 million for the three months ended March 31, 2025. License, milestone, royalty and other revenue for the three months ended March 31, 2026 is predominantly comprised of $2.7 million of royalty revenue recognized under the Commercialization Agreement with Neuraxpharm and $0.9 million of consideration received for development and regulatory activities performed on behalf of Neuraxpharm in accordance with the Commercialization Agreement.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Total research and development (R&amp;D) expense was approximately $48.4 million for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$46.4 million for the three months ended March 31, 2025. The increase in R&amp;D expense during the three months ended March 31, 2026 was primarily attributable to license and milestone expense pertaining to our license agreement with Precision BioSciences, Inc., as well as increased clinical trial related expenses and increased personnel costs during the period ended March 31, 2026. These increases were partially offset by lower manufacturing and development costs in connection with our subcutaneous ublituximab development work incurred during the period ended March 31, 2026.</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SG&amp;A Expenses</w:t>
      </w:r>
      <w:r>
        <w:rPr>
          <w:rFonts w:ascii="Times New Roman" w:cs="Times New Roman" w:eastAsia="Times New Roman" w:hAnsi="Times New Roman"/>
          <w:sz w:val="18"/>
          <w:szCs w:val="18"/>
          <w:color w:val="auto"/>
        </w:rPr>
        <w:t>: Total selling, general and administrative (SG&amp;A) expense was approximately $88.2 million for the three months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2026, compared to $50.3 million for the three months ended March 31, 2025. The increase in selling, general and administrative costs during the three months ended March 31, 2026 was primarily due to an increase in marketing and media spend, and personnel and external costs associated with the commercialization of BRIUMVI.</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was $19.8 million for the three months ended March 31, 2026, compared to net income of $5.1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2025.</w:t>
      </w: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 and Financial Guidance</w:t>
      </w:r>
      <w:r>
        <w:rPr>
          <w:rFonts w:ascii="Times New Roman" w:cs="Times New Roman" w:eastAsia="Times New Roman" w:hAnsi="Times New Roman"/>
          <w:sz w:val="18"/>
          <w:szCs w:val="18"/>
          <w:color w:val="auto"/>
        </w:rPr>
        <w:t>: Cash, cash equivalents and investment securities were $572.8 million as of March 31, 2026.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that our cash, cash equivalents and investment securities as of March 31, 2026, combined with the projected revenues from BRIUMVI, will be sufficient to fund our business based on our current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a conference call today, May 6, 2026, at 8:30 AM ET, to discuss the Company’s financial results from first quarter of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participate in the conference call, please call 1-877-407-8029 (U.S.), 1-201-689-8029 (outside the U.S.), Conference Title: TG Therapeutics. A live audio webcast will be available on the Events page, located within the Investors &amp; Media section, of the Company's website at </w:t>
      </w:r>
      <w:r>
        <w:rPr>
          <w:rFonts w:ascii="Times New Roman" w:cs="Times New Roman" w:eastAsia="Times New Roman" w:hAnsi="Times New Roman"/>
          <w:sz w:val="18"/>
          <w:szCs w:val="18"/>
          <w:u w:val="single" w:color="auto"/>
          <w:color w:val="auto"/>
        </w:rPr>
        <w:t>http://ir.tgtherapeutics.com/events</w:t>
      </w:r>
      <w:r>
        <w:rPr>
          <w:rFonts w:ascii="Times New Roman" w:cs="Times New Roman" w:eastAsia="Times New Roman" w:hAnsi="Times New Roman"/>
          <w:sz w:val="18"/>
          <w:szCs w:val="18"/>
          <w:color w:val="auto"/>
        </w:rPr>
        <w:t>. An audio recording of the conference call will also be available for a period of 30 days after the call.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(ublituximab-xiiy) 150 mg/6 mL Injection for IV</w:t>
      </w:r>
    </w:p>
    <w:p>
      <w:pPr>
        <w:jc w:val="both"/>
        <w:spacing w:after="0" w:line="253" w:lineRule="auto"/>
        <w:rPr>
          <w:sz w:val="20"/>
          <w:szCs w:val="20"/>
          <w:color w:val="auto"/>
        </w:rPr>
      </w:pPr>
      <w:r>
        <w:rPr>
          <w:rFonts w:ascii="Times New Roman" w:cs="Times New Roman" w:eastAsia="Times New Roman" w:hAnsi="Times New Roman"/>
          <w:sz w:val="18"/>
          <w:szCs w:val="18"/>
          <w:color w:val="auto"/>
        </w:rP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BRIUMVI is indicated in the U.S. for the treatment of adults with RMS, including clinically isolated syndrome, relapsing-remitting disease, and active secondary progressive disease and in several countries outside of the U.S. for the treatment of adult patients with RMS with active disease defined by clinical or imaging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list of authorized specialty distributors can be found at </w:t>
      </w:r>
      <w:r>
        <w:rPr>
          <w:rFonts w:ascii="Times New Roman" w:cs="Times New Roman" w:eastAsia="Times New Roman" w:hAnsi="Times New Roman"/>
          <w:sz w:val="18"/>
          <w:szCs w:val="18"/>
          <w:u w:val="single" w:color="auto"/>
          <w:color w:val="auto"/>
        </w:rPr>
        <w:t>www.briumvi.com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 BRIUMVI is contraindicated in patients with:</w:t>
      </w:r>
    </w:p>
    <w:p>
      <w:pPr>
        <w:spacing w:after="0" w:line="3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Hepatitis B Virus infection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life-threatening infusion reaction to BRIUMVI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Infusion Reactions: </w:t>
      </w:r>
      <w:r>
        <w:rPr>
          <w:rFonts w:ascii="Times New Roman" w:cs="Times New Roman" w:eastAsia="Times New Roman" w:hAnsi="Times New Roman"/>
          <w:sz w:val="18"/>
          <w:szCs w:val="18"/>
          <w:color w:val="auto"/>
        </w:rPr>
        <w:t>BRIUMVI can cause infusion reactions, which can include pyrexia, chills, headache, influenza-like illness, tachycardia, nausea, throat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Infections: </w:t>
      </w:r>
      <w:r>
        <w:rPr>
          <w:rFonts w:ascii="Times New Roman" w:cs="Times New Roman" w:eastAsia="Times New Roman" w:hAnsi="Times New Roman"/>
          <w:sz w:val="18"/>
          <w:szCs w:val="18"/>
          <w:color w:val="auto"/>
        </w:rPr>
        <w:t>Serious, life-threatening or fatal, bacterial and viral infections have been reported in BRIUMVI-treated patients. In MS clinical trials,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 the potential for increased immunosuppressive effects when initiating BRIUMVI after immunosuppressive therapy or initiating an immunosuppressive therapy after BRIUMVI.</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Hepatitis B Virus (HBV) Reactivation: </w:t>
      </w:r>
      <w:r>
        <w:rPr>
          <w:rFonts w:ascii="Times New Roman" w:cs="Times New Roman" w:eastAsia="Times New Roman" w:hAnsi="Times New Roman"/>
          <w:sz w:val="18"/>
          <w:szCs w:val="18"/>
          <w:color w:val="auto"/>
        </w:rPr>
        <w:t>HBV reactivation occurred in an MS patient treated with BRIUMVI in clinical trials. Fulminant hepatitis, hepatic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Progressive Multifocal Leukoencephalopathy (PML): </w:t>
      </w:r>
      <w:r>
        <w:rPr>
          <w:rFonts w:ascii="Times New Roman" w:cs="Times New Roman" w:eastAsia="Times New Roman" w:hAnsi="Times New Roman"/>
          <w:sz w:val="18"/>
          <w:szCs w:val="18"/>
          <w:color w:val="auto"/>
        </w:rPr>
        <w:t>PML is an opportunistic viral infection of the brain caused by the JC virus (JCV) that typically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in patients who are immunocompromised, and that usually leads to death or severe disability. JCV infection resulting in PML has been observed in patients treated with anti-CD20 antibodies, including BRIUMVI, and other MS therapies.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PML is confirmed, treatment with BRIUMVI should be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Vaccinations: </w:t>
      </w:r>
      <w:r>
        <w:rPr>
          <w:rFonts w:ascii="Times New Roman" w:cs="Times New Roman" w:eastAsia="Times New Roman" w:hAnsi="Times New Roman"/>
          <w:sz w:val="18"/>
          <w:szCs w:val="18"/>
          <w:color w:val="auto"/>
        </w:rPr>
        <w:t>Administer all immunizations according to immunization guidelines: for live or live-attenuated vaccines, at least 4 weeks and,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 of Infants Born to Mothers Treated with BRIUMVI During Pregnancy: </w:t>
      </w:r>
      <w:r>
        <w:rPr>
          <w:rFonts w:ascii="Times New Roman" w:cs="Times New Roman" w:eastAsia="Times New Roman" w:hAnsi="Times New Roman"/>
          <w:sz w:val="18"/>
          <w:szCs w:val="18"/>
          <w:color w:val="auto"/>
        </w:rPr>
        <w:t>In infants of mothers exposed to BRIUMVI during pregnancy,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 B-cell counts prior to administration of live or live-attenuated vaccines as measured by CD19</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Fetal Risk: </w:t>
      </w:r>
      <w:r>
        <w:rPr>
          <w:rFonts w:ascii="Times New Roman" w:cs="Times New Roman" w:eastAsia="Times New Roman" w:hAnsi="Times New Roman"/>
          <w:sz w:val="18"/>
          <w:szCs w:val="18"/>
          <w:color w:val="auto"/>
        </w:rPr>
        <w:t>Based on data from animal studies, BRIUMVI may cause fetal harm when administered to a pregnant woman. Transient peripheral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 in Immunoglobulins: </w:t>
      </w:r>
      <w:r>
        <w:rPr>
          <w:rFonts w:ascii="Times New Roman" w:cs="Times New Roman" w:eastAsia="Times New Roman" w:hAnsi="Times New Roman"/>
          <w:sz w:val="18"/>
          <w:szCs w:val="18"/>
          <w:color w:val="auto"/>
        </w:rPr>
        <w:t>As expected with any B-cell depleting therapy, decreased immunoglobulin levels were observed.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 Injury: </w:t>
      </w:r>
      <w:r>
        <w:rPr>
          <w:rFonts w:ascii="Times New Roman" w:cs="Times New Roman" w:eastAsia="Times New Roman" w:hAnsi="Times New Roman"/>
          <w:sz w:val="18"/>
          <w:szCs w:val="18"/>
          <w:color w:val="auto"/>
        </w:rPr>
        <w:t>Clinically significant liver injury, without findings of viral hepatitis, has been reported in the postmarketing setting in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anti-CD20 B-cell depleting therapies approved for the treatment of MS, including BRIUMVI. Signs of liver injury, including markedly elevated serum hepatic enzymes with elevated total bilirubin, have occurred from weeks to months after administration.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treated with BRIUMVI found to have an alanine aminotransaminase (ALT) or aspartate aminotransferase (AST) greater than 3x the upper limit of normal (ULN) with serum total bilirubin greater than 2x ULN are potentially at risk for severe drug-induced liver injury.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Most Common Adverse Reactions: </w:t>
      </w:r>
      <w:r>
        <w:rPr>
          <w:rFonts w:ascii="Times New Roman" w:cs="Times New Roman" w:eastAsia="Times New Roman" w:hAnsi="Times New Roman"/>
          <w:sz w:val="18"/>
          <w:szCs w:val="18"/>
          <w:color w:val="auto"/>
        </w:rPr>
        <w:t>The most common adverse reactions in RMS trials (incidence of at least 10%) were infusion reactions and upper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respiratory tract infections.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pharmacists, or other healthcare professionals with questions about BRIUMVI should visit www.briumvi.com.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 PATIENT SUPPORT in the U.S.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majority of people who are diagnosed with RRMS will eventually transition to SPMS, in which they experience steadily worsening disability over time. Worldwide, more than 2.3 million people have a diagnosis of MS.</w:t>
      </w:r>
      <w:r>
        <w:rPr>
          <w:rFonts w:ascii="Times New Roman" w:cs="Times New Roman" w:eastAsia="Times New Roman" w:hAnsi="Times New Roman"/>
          <w:sz w:val="29"/>
          <w:szCs w:val="29"/>
          <w:color w:val="auto"/>
          <w:vertAlign w:val="superscript"/>
        </w:rPr>
        <w:t>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TG THERAPEUTICS</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xml:space="preserve">, and follow us on X (formerly Twitter) </w:t>
      </w:r>
      <w:r>
        <w:rPr>
          <w:rFonts w:ascii="Times New Roman" w:cs="Times New Roman" w:eastAsia="Times New Roman" w:hAnsi="Times New Roman"/>
          <w:sz w:val="18"/>
          <w:szCs w:val="18"/>
          <w:u w:val="single" w:color="auto"/>
          <w:color w:val="auto"/>
        </w:rPr>
        <w:t>@TGTherapeutics</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TG Therapeutics,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All statements contained in this press release other than statements of historical facts, including statements regarding our future results of operations and financial position, our strategic and financial initiatives, our business strategy, and objectives for future operations may constitute forward-looking statements. For those statements, we claim the protection of the safe harbor for forward-looking statements contained in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 addition to the risk factors identified from time to time in our reports filed with the U.S. Securities and Exchange Commission (SEC), factors that could cause our actual results to differ materially include the below.</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Such forward looking statements include but are not limited to statements regarding our plans, business strategies and operations related to the commercialization of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our ability to execute our share repurchase program; expectations and timing for our clinical trials of subcutaneous ublituximab (the active ingredient in BRIUMVI), and sometimes referred to as subcutaneous BRIUMVI; expectations and timing for our ENHANCE Phase 3 pivotal program to evaluate a consolidated day 1 and day 15 dosing regimen for IV BRIUMVI; and expectations and timing for any of our pipeline products or programs, including Azer-cel or BRIUMVI in MG.</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2026 development pipeline anticipated milestones or goals in the timeframe projected or at all, including (i) completing a pivotal program for subcutaneous ublituximab, (ii) completing a pivotal program based on data from the ENHANCE trial to consolidate day 1 and day 15 dosing, (iii) enrolling patients into a trial evaluating BRIUMVI in MG, or (iv) enrolling patients into a trial evaluating azer-cel; the risk that clinical trial data readouts may be delayed due to a number of factors including enrollment, data collection, data maturity or other factors; the risk that the subcutaneous Phase 3 program will not be successful or if successful still will not be approved by the FDA or achieve commercial acceptance; the risk that, if subcutaneous BRIUMV is approved, the anticipated expansion of the addressable market will not be realized; the risk that the ENHANCE Phase 3 trial will not be successful or if successful will not be approved by the FDA or achieve commercial acceptance; the risk that we will not move forward with the development of BRIUMVI in MG or schizophrenia and azer-cel in progressive MS following preliminary studies; the uncertainties generally inherent in research and development and early stage exploratory programs; the risk that the collaboration with Christina Applegate is not able to be implemented or does not go as planned for regulatory or other reasons; the risk that the www.nextinms.com platform does not gain traction or ceases to exist;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2025 and in our other filings with the SEC.</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 at www.tgtherapeutics.com. The information found on our website is not incorporated by reference into this press release and is included for reference purposes only.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4</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6</w:t>
      </w:r>
    </w:p>
    <w:p>
      <w:pPr>
        <w:spacing w:after="0" w:line="202" w:lineRule="exact"/>
        <w:rPr>
          <w:sz w:val="20"/>
          <w:szCs w:val="20"/>
          <w:color w:val="auto"/>
        </w:rPr>
      </w:pPr>
    </w:p>
    <w:p>
      <w:pPr>
        <w:ind w:firstLine="8"/>
        <w:spacing w:after="0" w:line="261" w:lineRule="auto"/>
        <w:tabs>
          <w:tab w:leader="none" w:pos="18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MS Prevalence. National Multiple Sclerosis Society website. </w:t>
      </w:r>
      <w:r>
        <w:rPr>
          <w:rFonts w:ascii="Times New Roman" w:cs="Times New Roman" w:eastAsia="Times New Roman" w:hAnsi="Times New Roman"/>
          <w:sz w:val="14"/>
          <w:szCs w:val="14"/>
          <w:u w:val="single" w:color="auto"/>
          <w:color w:val="auto"/>
        </w:rPr>
        <w:t>https://www.nationalmssociety.org/About-the-Society/MS-Prevalence</w:t>
      </w:r>
      <w:r>
        <w:rPr>
          <w:rFonts w:ascii="Times New Roman" w:cs="Times New Roman" w:eastAsia="Times New Roman" w:hAnsi="Times New Roman"/>
          <w:sz w:val="14"/>
          <w:szCs w:val="14"/>
          <w:color w:val="auto"/>
        </w:rPr>
        <w:t>. Accessed October 26, 2020. 2. Multiple Sclerosis International Federation, 2013 via Data monitor p.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Financial Data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 (in thousands, except share and per share amounts;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445"/>
        </w:trPr>
        <w:tc>
          <w:tcPr>
            <w:tcW w:w="80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201,308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119,655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43,031</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170,123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112,234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144,439,370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146,677,783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160,062,326</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162,769,202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 Information (in thousands):</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 securities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572,835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1,528,837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1,063,253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648,020</w:t>
            </w:r>
          </w:p>
        </w:tc>
        <w:tc>
          <w:tcPr>
            <w:tcW w:w="0" w:type="dxa"/>
            <w:vAlign w:val="bottom"/>
          </w:tcPr>
          <w:p>
            <w:pPr>
              <w:spacing w:after="0"/>
              <w:rPr>
                <w:sz w:val="1"/>
                <w:szCs w:val="1"/>
                <w:color w:val="auto"/>
              </w:rPr>
            </w:pPr>
          </w:p>
        </w:tc>
      </w:tr>
      <w:tr>
        <w:trPr>
          <w:trHeight w:val="198"/>
        </w:trPr>
        <w:tc>
          <w:tcPr>
            <w:tcW w:w="80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Condensed from audited financial statements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o"/>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2026-05-06T06:26:51Z</dcterms:created>
  <dcterms:modified xsi:type="dcterms:W3CDTF">2026-05-06T06:26:51Z</dcterms:modified>
</cp:coreProperties>
</file>