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Charney Laurence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3020 CARRINGTON MILL BLVD, SUITE 475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MORRISVILLE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27560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TG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TGTX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52"/>
        <w:gridCol w:w="904"/>
        <w:gridCol w:w="773"/>
        <w:gridCol w:w="600"/>
        <w:gridCol w:w="351"/>
        <w:gridCol w:w="897"/>
        <w:gridCol w:w="462"/>
        <w:gridCol w:w="624"/>
        <w:gridCol w:w="1207"/>
        <w:gridCol w:w="1007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5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5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08/06/2026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174,590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174,090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5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G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173,640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1. Represents a bona fide gift by the Reporting Person to a 501(c)(3) institution. The Reporting Person does not retain any beneficial ownership or pecuniary interest over the shares of the Company's Common Stock after effecting the transaction.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2. Includes shares of restricted Common Stock, which vest over various time periods.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Laurence N. Charney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07451" TargetMode="External"/><Relationship Id="rId5" Type="http://schemas.openxmlformats.org/officeDocument/2006/relationships/hyperlink" Target="http://www.sec.gov/cgi-bin/browse-edgar?action=getcompany&amp;CIK=000100131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633</Words>
  <Characters>3427</Characters>
  <CharactersWithSpaces>3977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