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27,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001-32639</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of Incorporation)</w:t>
            </w:r>
          </w:p>
        </w:tc>
        <w:tc>
          <w:tcPr>
            <w:tcW w:w="4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3020 Carrington Mill Blvd, Suite 475</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 27560</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(212) 554-4484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Name</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27, 2026, TG Therapeutics, Inc. (the “Company”) issued a press release announcing positive topline results from the Phase 3 ENHANCE trial, a randomized, double-blind study evaluating a consolidated single infusion regimen for initiation of BRIUMVI® (ublituximab-xiiy) in adults with relapsing forms of multiple sclerosis (RMS). A copy of the press release is being filed herewith as Exhibit 99.1 and incorporated into this Item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TG Therapeutics, Inc., dated May 27, 2026.</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4700" w:val="left"/>
          <w:tab w:leader="none" w:pos="558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5715</wp:posOffset>
            </wp:positionV>
            <wp:extent cx="3583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A. Power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 Announces Positive Topline Results from Phase 3 ENHANCE Trial</w:t>
      </w:r>
    </w:p>
    <w:p>
      <w:pPr>
        <w:spacing w:after="0" w:line="22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Phase 3 trial met its primary endpoint, demonstrating bioequivalent drug exposure between the currently approved BRIUMVI Day 1 and Day 15 initiation dosing and a new single infusion on Day 1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and tolerability of the consolidated first infusion were consistent with the established BRIUMVI safety profile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BLA filing targeted 2H-2026</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YORK, May 27, 2026 -- TG Therapeutics, Inc. (NASDAQ: TGTX), today announced positive topline results from the Phase 3 ENHANCE trial, a randomized, double-blind study evaluating a consolidated single infusion regimen for initiation of BRIUMVI® (ublituximab-xiiy) in adults with relapsing forms of multiple sclerosis (RMS). The trial met its primary endpoint, demonstrating bioequivalent drug exposure between the currently approved initiation dosing regimen of 150 mg on Day 1 and 450 mg on Day 15 and a consolidated single 600 mg infusion on Day 1, eliminating the need for a Day 15 infusion. Topline outcomes from the ENHANCE Phase 3 study are highlighted below, and full results are expected to be presented at an upcoming medical meeting.</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Michael S. Weiss, Chairman and Chief Executive Officer of TG Therapeutics, stated: “We are very pleased to share these positive results from our ENHANCE Phase 3 trial. By eliminating the need for a second infusion visit two weeks after treatment initiation, this streamlined dosing regimen has the potential to accelerate time from prescription to treatment and reduce scheduling burdens at busy infusion centers. If this consolidated dosing is approved, BRIUMVI would be the first and only IV anti-CD20 for which therapy can be initiated with a single infusion.”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Weiss continued, “People living with RMS already manage significant complexity in their daily lives, and we believe treatment simplicity also matters. These results reflect our broader commitment not only to developing effective therapies, but also to improving the treatment experience for patients and healthcare providers. We look forward to engaging with regulatory authorities regarding these data, with the goal of submitting a supplemental BLA in the second half of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ENHANCE PHASE 3 STUDY AND KEY FINDINGS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Phase 3b ENHANCE trial is a randomized, double-blind, placebo-controlled, multicenter study designed to evaluate the pharmacokinetics, safety, and MRI outcomes of a consolidated first infusion regimen of BRIUMVI.</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primary endpoint of the study is to demonstrate bioequivalent overall drug exposure between a single 600 mg Day 1 infusion of BRIUMVI and the currently approved dosing regimen of 150 mg on Day 1 followed by 450 mg on Day 15. Overall drug exposure was measured by area under the serum concentration—time curve from baseline through Week 16 (AUC 0-Wk16). AUC values within each treatment arm are summarized using geometric means and then compared between treatment arms using a ratio of those geometric means (GMR).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were randomized into one of two treatment arms: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BRIUMVI initiation regimen of 150 mg on Day 1 and 450 mg on Day 15;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consolidated BRIUMVI initiation regimen of a single 600 mg infusion on Day 1 only and a placebo infusion on Day 15</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All subsequent maintenance dosing in both treatment arms followed the currently approved BRIUMVI prescribing information. With both arms receiving the same cumulative dose of 600 mg through Day 15, the study was designed to ensure that comparable drug exposure was achieved across both treatment arms. Secondary endpoints included safety, pharmacodynamics,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Key Findings:</w:t>
      </w:r>
    </w:p>
    <w:p>
      <w:pPr>
        <w:spacing w:after="0" w:line="229" w:lineRule="exact"/>
        <w:rPr>
          <w:sz w:val="20"/>
          <w:szCs w:val="20"/>
          <w:color w:val="auto"/>
        </w:rPr>
      </w:pPr>
    </w:p>
    <w:p>
      <w:pPr>
        <w:ind w:left="660" w:right="3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its primary endpoint, demonstrating bioequivalence between the new single Day 1 BRIUMVI infusion regimen and the currently approved initiation regimen administered on Days 1 and 15. Total drug exposure over 16 weeks (AUC 0-Wk16) was comparable between treatment arms, with a geometric mean ratio (GMR) of approximately 1.0 and a 90% confidence interval within the protocol-defined bioequivalence range of 0.80 to 1.25.</w:t>
      </w:r>
    </w:p>
    <w:p>
      <w:pPr>
        <w:spacing w:after="0" w:line="179"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endpoints, including safety, B-cell depletion, and MRI outcomes, were consistent with prior BRIUMVI clinical studies and comparable between treatment arms through the primary assessment period with no new safety signals observed. Infusion-related reactions in both arms were lower than previously reported in the ULTIMATE I and II approval studies for BRIUMVI, with no Grade 3 or higher infusion reactions occurring in either arm. In addition, infusion-related reactions were statistically indistinguishable between treatment arms in this study with fewer infusion reactions observed in the consolidated single-infusion treatment arm.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(ublituximab-xiiy) 150 mg/6 mL Injection for IV</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BRIUMVI is indicated in the U.S. for the treatment of adults with RMS, including clinically isolated syndrome, relapsing-remitting disease, and active secondary progressive disease and in several foreign nations for the treatment of adult patients with RMS with active disease defined by clinical or imaging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authorized specialty distributors can be found at www.briumvi.com</w:t>
      </w:r>
      <w:r>
        <w:rPr>
          <w:rFonts w:ascii="Times New Roman" w:cs="Times New Roman" w:eastAsia="Times New Roman" w:hAnsi="Times New Roman"/>
          <w:sz w:val="18"/>
          <w:szCs w:val="18"/>
          <w:u w:val="single" w:color="auto"/>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 BRIUMVI is contraindicated in patients with:</w:t>
      </w:r>
    </w:p>
    <w:p>
      <w:pPr>
        <w:spacing w:after="0" w:line="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Hepatitis B Virus infection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life-threatening infusion reaction to BRIUMVI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Infusion Reactions: </w:t>
      </w:r>
      <w:r>
        <w:rPr>
          <w:rFonts w:ascii="Times New Roman" w:cs="Times New Roman" w:eastAsia="Times New Roman" w:hAnsi="Times New Roman"/>
          <w:sz w:val="18"/>
          <w:szCs w:val="18"/>
          <w:color w:val="auto"/>
        </w:rPr>
        <w:t>BRIUMVI can cause infusion reactions, which can include pyrexia, chills, headache, influenza-like illness, tachycardia, nausea, throat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Infections: </w:t>
      </w:r>
      <w:r>
        <w:rPr>
          <w:rFonts w:ascii="Times New Roman" w:cs="Times New Roman" w:eastAsia="Times New Roman" w:hAnsi="Times New Roman"/>
          <w:sz w:val="18"/>
          <w:szCs w:val="18"/>
          <w:color w:val="auto"/>
        </w:rPr>
        <w:t>Serious, life-threatening or fatal, bacterial and viral infections have been reported in BRIUMVI-treated patients. In MS clinical trials,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spacing w:after="0" w:line="183"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Consider the potential for increased immunosuppressive effects when initiating BRIUMVI after immunosuppressive therapy or initiating an immunosuppressive therapy after BRIUMVI.</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Hepatitis B Virus (HBV) Reactivation: </w:t>
      </w:r>
      <w:r>
        <w:rPr>
          <w:rFonts w:ascii="Times New Roman" w:cs="Times New Roman" w:eastAsia="Times New Roman" w:hAnsi="Times New Roman"/>
          <w:sz w:val="18"/>
          <w:szCs w:val="18"/>
          <w:color w:val="auto"/>
        </w:rPr>
        <w:t>HBV reactivation occurred in an MS patient treated with BRIUMVI in clinical trials. Fulminant hepatitis, hepatic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spacing w:after="0" w:line="183"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Progressive Multifocal Leukoencephalopathy (PML): </w:t>
      </w:r>
      <w:r>
        <w:rPr>
          <w:rFonts w:ascii="Times New Roman" w:cs="Times New Roman" w:eastAsia="Times New Roman" w:hAnsi="Times New Roman"/>
          <w:sz w:val="18"/>
          <w:szCs w:val="18"/>
          <w:color w:val="auto"/>
        </w:rPr>
        <w:t>PML is an opportunistic viral infection of the brain caused by the JC virus (JCV) that typically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in patients who are immunocompromised, and that usually leads to death or severe disability. JCV infection resulting in PML has been observed in patients treated with anti-CD20 antibodies, including BRIUMVI, and other MS therapies.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PML is confirmed, treatment with BRIUMVI should be discontinued.</w:t>
      </w: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Vaccinations: </w:t>
      </w:r>
      <w:r>
        <w:rPr>
          <w:rFonts w:ascii="Times New Roman" w:cs="Times New Roman" w:eastAsia="Times New Roman" w:hAnsi="Times New Roman"/>
          <w:sz w:val="18"/>
          <w:szCs w:val="18"/>
          <w:color w:val="auto"/>
        </w:rPr>
        <w:t>Administer all immunizations according to immunization guidelines: for live or live-attenuated vaccines, at least 4 weeks and, whenever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spacing w:after="0" w:line="18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Vaccination of Infants Born to Mothers Treated with BRIUMVI During Pregnancy: </w:t>
      </w:r>
      <w:r>
        <w:rPr>
          <w:rFonts w:ascii="Times New Roman" w:cs="Times New Roman" w:eastAsia="Times New Roman" w:hAnsi="Times New Roman"/>
          <w:sz w:val="17"/>
          <w:szCs w:val="17"/>
          <w:color w:val="auto"/>
        </w:rPr>
        <w:t>In infants of mothers exposed to BRIUMVI during pregnancy, assess B-cell counts prior to administration of live or live-attenuated vaccines as measured by CD19</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spacing w:after="0" w:line="19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Fetal Risk: </w:t>
      </w:r>
      <w:r>
        <w:rPr>
          <w:rFonts w:ascii="Times New Roman" w:cs="Times New Roman" w:eastAsia="Times New Roman" w:hAnsi="Times New Roman"/>
          <w:sz w:val="18"/>
          <w:szCs w:val="18"/>
          <w:color w:val="auto"/>
        </w:rPr>
        <w:t>Based on data from animal studies, BRIUMVI may cause fetal harm when administered to a pregnant woman. Transient peripheral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 in Immunoglobulins: </w:t>
      </w:r>
      <w:r>
        <w:rPr>
          <w:rFonts w:ascii="Times New Roman" w:cs="Times New Roman" w:eastAsia="Times New Roman" w:hAnsi="Times New Roman"/>
          <w:sz w:val="18"/>
          <w:szCs w:val="18"/>
          <w:color w:val="auto"/>
        </w:rPr>
        <w:t>As expected with any B-cell depleting therapy, decreased immunoglobulin levels were observed.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 Injury: </w:t>
      </w:r>
      <w:r>
        <w:rPr>
          <w:rFonts w:ascii="Times New Roman" w:cs="Times New Roman" w:eastAsia="Times New Roman" w:hAnsi="Times New Roman"/>
          <w:sz w:val="18"/>
          <w:szCs w:val="18"/>
          <w:color w:val="auto"/>
        </w:rPr>
        <w:t>Clinically significant liver injury, without findings of viral hepatitis, has been reported in the postmarketing setting in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anti-CD20 B-cell depleting therapies approved for the treatment of MS, including BRIUMVI. Signs of liver injury, including markedly elevated serum hepatic enzymes with elevated total bilirubin, have occurred from weeks to months after administration.</w:t>
      </w:r>
    </w:p>
    <w:p>
      <w:pPr>
        <w:spacing w:after="0" w:line="175" w:lineRule="exact"/>
        <w:rPr>
          <w:sz w:val="20"/>
          <w:szCs w:val="20"/>
          <w:color w:val="auto"/>
        </w:rPr>
      </w:pPr>
    </w:p>
    <w:p>
      <w:pPr>
        <w:ind w:right="4320"/>
        <w:spacing w:after="0" w:line="266" w:lineRule="auto"/>
        <w:rPr>
          <w:sz w:val="20"/>
          <w:szCs w:val="20"/>
          <w:color w:val="auto"/>
        </w:rPr>
      </w:pPr>
      <w:r>
        <w:rPr>
          <w:rFonts w:ascii="Times New Roman" w:cs="Times New Roman" w:eastAsia="Times New Roman" w:hAnsi="Times New Roman"/>
          <w:sz w:val="18"/>
          <w:szCs w:val="18"/>
          <w:color w:val="auto"/>
        </w:rPr>
        <w:t>Patients treated with BRIUMVI found to have an alanine aminotransaminase (ALT) or aspartate aminotransferase (AST) greater than 3x the upper limit of normal (ULN) with serum total bilirubin greater than 2x ULN are potentially at risk for severe drug-induced liver injury.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Most Common Adverse Reactions: </w:t>
      </w:r>
      <w:r>
        <w:rPr>
          <w:rFonts w:ascii="Times New Roman" w:cs="Times New Roman" w:eastAsia="Times New Roman" w:hAnsi="Times New Roman"/>
          <w:sz w:val="18"/>
          <w:szCs w:val="18"/>
          <w:color w:val="auto"/>
        </w:rPr>
        <w:t>The most common adverse reactions in RMS trials (incidence of at least 10%) were infusion reactions and upper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respiratory tract infections.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Physicians, pharmacists, or other healthcare professionals with questions about BRIUMVI should visit </w:t>
      </w:r>
      <w:r>
        <w:rPr>
          <w:rFonts w:ascii="Times New Roman" w:cs="Times New Roman" w:eastAsia="Times New Roman" w:hAnsi="Times New Roman"/>
          <w:sz w:val="18"/>
          <w:szCs w:val="18"/>
          <w:u w:val="single" w:color="auto"/>
          <w:color w:val="auto"/>
        </w:rPr>
        <w:t>www.briumvi.com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u w:val="single" w:color="auto"/>
          <w:color w:val="auto"/>
        </w:rPr>
        <w:t>The full Summary of Product Characteristics approved in the European Union (EU) for BRIUMVI can be found here</w:t>
      </w:r>
      <w:r>
        <w:rPr>
          <w:rFonts w:ascii="Times New Roman" w:cs="Times New Roman" w:eastAsia="Times New Roman" w:hAnsi="Times New Roman"/>
          <w:sz w:val="18"/>
          <w:szCs w:val="18"/>
          <w:color w:val="auto"/>
        </w:rPr>
        <w:t xml:space="preserve"> Briumvi | European Medicines </w:t>
      </w:r>
      <w:r>
        <w:rPr>
          <w:rFonts w:ascii="Times New Roman" w:cs="Times New Roman" w:eastAsia="Times New Roman" w:hAnsi="Times New Roman"/>
          <w:sz w:val="18"/>
          <w:szCs w:val="18"/>
          <w:u w:val="single" w:color="auto"/>
          <w:color w:val="auto"/>
        </w:rPr>
        <w:t>Agency (europa.eu).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5773420</wp:posOffset>
            </wp:positionH>
            <wp:positionV relativeFrom="paragraph">
              <wp:posOffset>-185420</wp:posOffset>
            </wp:positionV>
            <wp:extent cx="10223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 PATIENT SUPPORT in the U.S.</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3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majority of people who are diagnosed with RRMS will eventually transition to SPMS, in which they experience steadily worsening disability over time. Worldwide, more than 2.3 million people have a diagnosis of MS.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TG THERAPEUTICS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xml:space="preserve">, and follow us on X (formerly Twitter) </w:t>
      </w:r>
      <w:r>
        <w:rPr>
          <w:rFonts w:ascii="Times New Roman" w:cs="Times New Roman" w:eastAsia="Times New Roman" w:hAnsi="Times New Roman"/>
          <w:sz w:val="18"/>
          <w:szCs w:val="18"/>
          <w:u w:val="single" w:color="auto"/>
          <w:color w:val="auto"/>
        </w:rPr>
        <w:t>@TGTherapeutics</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 is a registered trademark of TG Therapeutics,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3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For those statements, we claim the protection of the safe harbor for forward-looking statements contained in the Private Securities Litigation Reform Act of 1995.</w:t>
      </w:r>
    </w:p>
    <w:p>
      <w:pPr>
        <w:spacing w:after="0" w:line="1"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 addition to the risk factors identified from time to time in our reports filed with the U.S. Securities and Exchange Commission (SEC), factors that could cause our actual results to differ materially include the below.</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Such forward looking statements include but are not limited to statements regarding expectations for the timing and success of the commercialization and availability of BRIUMVI®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expectations and timing for our subcutaneous BRIUMVI program, including feasibility, approvability and commercial acceptance, expectations and timing for our ENHANCE Phase 3 trial combining day 1 and day 15 doses, including, feasibility, approvability and commercial acceptance and impact on BRIUMVI sales.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2026 development pipeline anticipated milestones or goals in the timeframe projected or at all, including completing a pivotal program based on data from the ENHANCE trial to consolidate day 1 and day 15 dosing; the risk that the ENHANCE Phase 3 trial will not be successful or if successful will not be approved by the FDA or achieve commercial acceptance; the uncertainties generally inherent in research and development;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2025 and in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ind w:right="200"/>
        <w:spacing w:after="0" w:line="261" w:lineRule="auto"/>
        <w:rPr>
          <w:sz w:val="20"/>
          <w:szCs w:val="20"/>
          <w:color w:val="auto"/>
        </w:rPr>
      </w:pPr>
      <w:r>
        <w:rPr>
          <w:rFonts w:ascii="Times New Roman" w:cs="Times New Roman" w:eastAsia="Times New Roman" w:hAnsi="Times New Roman"/>
          <w:sz w:val="18"/>
          <w:szCs w:val="18"/>
          <w:color w:val="auto"/>
        </w:rPr>
        <w:t>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w:t>
      </w:r>
    </w:p>
    <w:p>
      <w:pPr>
        <w:ind w:right="300"/>
        <w:spacing w:after="0" w:line="260" w:lineRule="auto"/>
        <w:rPr>
          <w:sz w:val="20"/>
          <w:szCs w:val="20"/>
          <w:color w:val="auto"/>
        </w:rPr>
      </w:pPr>
      <w:r>
        <w:rPr>
          <w:rFonts w:ascii="Times New Roman" w:cs="Times New Roman" w:eastAsia="Times New Roman" w:hAnsi="Times New Roman"/>
          <w:sz w:val="18"/>
          <w:szCs w:val="18"/>
          <w:color w:val="auto"/>
        </w:rPr>
        <w:t>at www.tgtherapeutics.com. The information found on our website is not incorporated by reference into this press release and is included for reference purposes only.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4</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media@tgtxinc.com</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Telephone: 1.877.575.TGTX (8489), Option 6</w:t>
      </w:r>
    </w:p>
    <w:p>
      <w:pPr>
        <w:spacing w:after="0" w:line="206" w:lineRule="exact"/>
        <w:rPr>
          <w:sz w:val="20"/>
          <w:szCs w:val="20"/>
          <w:color w:val="auto"/>
        </w:rPr>
      </w:pPr>
    </w:p>
    <w:p>
      <w:pPr>
        <w:ind w:firstLine="8"/>
        <w:spacing w:after="0" w:line="335" w:lineRule="auto"/>
        <w:tabs>
          <w:tab w:leader="none" w:pos="157"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MS Prevalence. National Multiple Sclerosis Society website. https://www.nationalmssociety.org/About-the-Society/MS-Prevalence. Accessed October 26, 2020.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Multiple Sclerosis International Federation, 2013 via Datamonitor p. 236.</w:t>
      </w:r>
    </w:p>
    <w:sectPr>
      <w:pgSz w:w="11900" w:h="16838" w:orient="portrait"/>
      <w:cols w:equalWidth="0" w:num="1">
        <w:col w:w="11120"/>
      </w:cols>
      <w:pgMar w:left="320" w:top="5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2026-05-27T16:13:25Z</dcterms:created>
  <dcterms:modified xsi:type="dcterms:W3CDTF">2026-05-27T16:13:25Z</dcterms:modified>
</cp:coreProperties>
</file>