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50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January 13, 2026</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980" w:type="dxa"/>
            <w:vAlign w:val="bottom"/>
          </w:tcPr>
          <w:p>
            <w:pPr>
              <w:spacing w:after="0"/>
              <w:rPr>
                <w:sz w:val="24"/>
                <w:szCs w:val="24"/>
                <w:color w:val="auto"/>
              </w:rPr>
            </w:pPr>
          </w:p>
        </w:tc>
        <w:tc>
          <w:tcPr>
            <w:tcW w:w="50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TG Therapeutics, Inc.</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50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9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0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001-32639</w:t>
            </w:r>
          </w:p>
        </w:tc>
        <w:tc>
          <w:tcPr>
            <w:tcW w:w="25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36-3898269</w:t>
            </w:r>
          </w:p>
        </w:tc>
        <w:tc>
          <w:tcPr>
            <w:tcW w:w="0" w:type="dxa"/>
            <w:vAlign w:val="bottom"/>
          </w:tcPr>
          <w:p>
            <w:pPr>
              <w:spacing w:after="0"/>
              <w:rPr>
                <w:sz w:val="1"/>
                <w:szCs w:val="1"/>
                <w:color w:val="auto"/>
              </w:rPr>
            </w:pPr>
          </w:p>
        </w:tc>
      </w:tr>
      <w:tr>
        <w:trPr>
          <w:trHeight w:val="216"/>
        </w:trPr>
        <w:tc>
          <w:tcPr>
            <w:tcW w:w="29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0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(Commission File Number)</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216"/>
        </w:trPr>
        <w:tc>
          <w:tcPr>
            <w:tcW w:w="29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of Incorporation)</w:t>
            </w:r>
          </w:p>
        </w:tc>
        <w:tc>
          <w:tcPr>
            <w:tcW w:w="50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2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3020 Carrington Mill Blvd, Suite 475</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980" w:type="dxa"/>
            <w:vAlign w:val="bottom"/>
          </w:tcPr>
          <w:p>
            <w:pPr>
              <w:spacing w:after="0"/>
              <w:rPr>
                <w:sz w:val="16"/>
                <w:szCs w:val="16"/>
                <w:color w:val="auto"/>
              </w:rPr>
            </w:pPr>
          </w:p>
        </w:tc>
        <w:tc>
          <w:tcPr>
            <w:tcW w:w="5020" w:type="dxa"/>
            <w:vAlign w:val="bottom"/>
            <w:vMerge w:val="continue"/>
          </w:tcPr>
          <w:p>
            <w:pPr>
              <w:spacing w:after="0"/>
              <w:rPr>
                <w:sz w:val="16"/>
                <w:szCs w:val="16"/>
                <w:color w:val="auto"/>
              </w:rPr>
            </w:pPr>
          </w:p>
        </w:tc>
        <w:tc>
          <w:tcPr>
            <w:tcW w:w="2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980" w:type="dxa"/>
            <w:vAlign w:val="bottom"/>
          </w:tcPr>
          <w:p>
            <w:pPr>
              <w:spacing w:after="0"/>
              <w:rPr>
                <w:sz w:val="19"/>
                <w:szCs w:val="19"/>
                <w:color w:val="auto"/>
              </w:rPr>
            </w:pPr>
          </w:p>
        </w:tc>
        <w:tc>
          <w:tcPr>
            <w:tcW w:w="50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Morrisville, North Carolina 27560</w:t>
            </w: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5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980" w:type="dxa"/>
            <w:vAlign w:val="bottom"/>
          </w:tcPr>
          <w:p>
            <w:pPr>
              <w:spacing w:after="0"/>
              <w:rPr>
                <w:sz w:val="24"/>
                <w:szCs w:val="24"/>
                <w:color w:val="auto"/>
              </w:rPr>
            </w:pPr>
          </w:p>
        </w:tc>
        <w:tc>
          <w:tcPr>
            <w:tcW w:w="50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(212) 554-4484</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50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09"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filed pursuant to Section 12(b) of the Act:</w:t>
      </w:r>
    </w:p>
    <w:tbl>
      <w:tblPr>
        <w:tblLayout w:type="fixed"/>
        <w:tblInd w:w="10" w:type="dxa"/>
        <w:tblCellMar>
          <w:top w:w="0" w:type="dxa"/>
          <w:left w:w="0" w:type="dxa"/>
          <w:bottom w:w="0" w:type="dxa"/>
          <w:right w:w="0" w:type="dxa"/>
        </w:tblCellMar>
      </w:tblPr>
      <w:tr>
        <w:trPr>
          <w:trHeight w:val="231"/>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Exchange Name</w:t>
            </w:r>
          </w:p>
        </w:tc>
      </w:tr>
      <w:tr>
        <w:trPr>
          <w:trHeight w:val="193"/>
        </w:trPr>
        <w:tc>
          <w:tcPr>
            <w:tcW w:w="37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w:t>
            </w:r>
          </w:p>
        </w:tc>
        <w:tc>
          <w:tcPr>
            <w:tcW w:w="37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TGTX</w:t>
            </w:r>
          </w:p>
        </w:tc>
        <w:tc>
          <w:tcPr>
            <w:tcW w:w="37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Nasdaq Capital Market</w:t>
            </w:r>
          </w:p>
        </w:tc>
      </w:tr>
    </w:tbl>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ind w:right="140"/>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71"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January 13, 2026, the Company issued a press release entitled “TG Therapeutics Provides Preliminary Fourth Quarter and Full Year 2025 Net Product Revenue and 2026 Revenue Guidance and Anticipated Development Milestones.”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this Item 7.01, the Company is furnishing a copy of the press release, which is attached hereto as Exhibit 99.1. In accordance with General Instruction B.2 of Form 8-K, the information included in Item 7.01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issued by TG Therapeutics, Inc., dated January 13, 2026.</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7"/>
          <w:szCs w:val="17"/>
          <w:color w:val="auto"/>
        </w:rPr>
        <w:t>The cover page from this Current Report on Form 8-K formatted in Inline XBRL.</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TG Therapeutics, Inc.</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(Registrant)</w:t>
      </w:r>
    </w:p>
    <w:p>
      <w:pPr>
        <w:spacing w:after="0" w:line="9" w:lineRule="exact"/>
        <w:rPr>
          <w:sz w:val="20"/>
          <w:szCs w:val="20"/>
          <w:color w:val="auto"/>
        </w:rPr>
      </w:pPr>
    </w:p>
    <w:p>
      <w:pPr>
        <w:spacing w:after="0"/>
        <w:tabs>
          <w:tab w:leader="none" w:pos="5100" w:val="left"/>
          <w:tab w:leader="none" w:pos="5920" w:val="left"/>
        </w:tabs>
        <w:rPr>
          <w:sz w:val="20"/>
          <w:szCs w:val="20"/>
          <w:color w:val="auto"/>
        </w:rPr>
      </w:pPr>
      <w:r>
        <w:rPr>
          <w:rFonts w:ascii="Times New Roman" w:cs="Times New Roman" w:eastAsia="Times New Roman" w:hAnsi="Times New Roman"/>
          <w:sz w:val="18"/>
          <w:szCs w:val="18"/>
          <w:color w:val="auto"/>
        </w:rPr>
        <w:t>Date: January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5715</wp:posOffset>
            </wp:positionV>
            <wp:extent cx="33604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Sean A. Power</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576"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TG Therapeutics Provides Preliminary Fourth Quarter and Full Year 2025 Net Product Revenue and 2026 Revenue Guidance and Anticipated Development Milestones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Preliminary total global full year 2025 revenue of approximately $616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Preliminary U.S. BRIUMVI fourth quarter and full year 2025 net product revenue of approximately $182 million and $594 million, respectively</w:t>
      </w:r>
    </w:p>
    <w:p>
      <w:pPr>
        <w:spacing w:after="0" w:line="225"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Full Year 2026 target total global revenue of approximately $875-900 million, including BRIUMVI U.S. net product revenue of approximately $825-850 million</w:t>
      </w:r>
    </w:p>
    <w:p>
      <w:pPr>
        <w:spacing w:after="0" w:line="160"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NEW YORK, January 13, 2026 -- TG Therapeutics, Inc. (NASDAQ: TGTX) (the Company or TG Therapeutics), today announced preliminary U.S. net product revenue for BRIUMVI® for the fourth quarter and full year ended December 31, 2025 (unaudited), as well as 2026 financial guidance and development milestones, during a preannounced presentation at the 44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Annual J.P Morgan Healthcare Conference. An audio replay of the event, as well as the corresponding slide presentation, are available on the Investors and Media section of the TG corporate website at </w:t>
      </w:r>
      <w:r>
        <w:rPr>
          <w:rFonts w:ascii="Times New Roman" w:cs="Times New Roman" w:eastAsia="Times New Roman" w:hAnsi="Times New Roman"/>
          <w:sz w:val="18"/>
          <w:szCs w:val="18"/>
          <w:u w:val="single" w:color="auto"/>
          <w:color w:val="auto"/>
        </w:rPr>
        <w:t>ir.tgtherapeutics.com/events</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Michael S. Weiss, the Company’s Chairman and Chief Executive Officer stated, “BRIUMVI continued to deliver strong commercial performance in 2025, reinforcing our confidence in the multi-billion dollar opportunity for BRIUMVI. With significant market share capture since launch, we believe TG Therapeutics is well positioned to drive long-term revenue growth and cash flow. Additionally, our development programs for consolidated IV BRIUMVI dosing and self-administered subcutaneous form of BRIUMVI are expected to drive revenue acceleration over the short and mid-term if approved. In parallel, we plan to initiate multiple exploratory studies that could expand BRIUMVI beyond MS, providing an additional lever for growth and underscoring its potential as a ‘pipeline-in-a-product.’ We also remain excited about the potential of azer-cel, our allogeneic CAR-T in autoimmune indications, starting with progressive forms of MS. Taken together, we believe we are executing a strategy designed to deliver sustained growth and long-term value for patients and shareholders.”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Fourth Quarter and Full Year 2025 Updates (based on unaudited financial information)</w:t>
      </w:r>
    </w:p>
    <w:p>
      <w:pPr>
        <w:spacing w:after="0" w:line="229" w:lineRule="exact"/>
        <w:rPr>
          <w:sz w:val="20"/>
          <w:szCs w:val="20"/>
          <w:color w:val="auto"/>
        </w:rPr>
      </w:pPr>
    </w:p>
    <w:p>
      <w:pPr>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BRIUMVI U.S. net product revenue expected to be approximately $182 million and $594 million for the fourth quarter and full year of 2025, respectively</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global full year 2025 revenue of approximately $616 million</w:t>
      </w:r>
    </w:p>
    <w:p>
      <w:pPr>
        <w:spacing w:after="0" w:line="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selected financial information presented in this release are unaudited, subject to financial closing procedures and adjustment, and provided as an approximation in advance of the Company's announcement of complete financial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Financial Guidance</w:t>
      </w:r>
    </w:p>
    <w:p>
      <w:pPr>
        <w:spacing w:after="0" w:line="229" w:lineRule="exact"/>
        <w:rPr>
          <w:sz w:val="20"/>
          <w:szCs w:val="20"/>
          <w:color w:val="auto"/>
        </w:rPr>
      </w:pPr>
    </w:p>
    <w:p>
      <w:pPr>
        <w:ind w:left="660" w:right="2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2026 target total global revenue of approximately $875-900 million, including BRIUMVI U.S. net product revenue of approximately $825-850 million</w:t>
      </w:r>
    </w:p>
    <w:p>
      <w:pPr>
        <w:ind w:left="66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2026 target operating expense, defined as R&amp;D and SG&amp;A, of approximately $350 million excluding non-cash compensation, and approximately $100 million in expenses associated with the subcutaneous BRIUMVI inventory build and secondary manufacturer start-up costs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Development Pipeline Anticipated Milestones</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 pivotal topline data for ENHANCE trial combining Day 1 and Day 15 doses of IV BRIUMVI mid-year 2026</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preliminary Phase 1 azer-cel data in Progressive MS in the second half of 2026</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 pivotal topline data for subcutaneous BRIUMVI (ublituximab) year-end 2026/1Q 2027</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registration-directed trial for BRIUMVI in an indication outside of MS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additional exploratory studies for BRIUMVI and azer-cel in autoimmune disease (outside 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BRIUMVI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(ublituximab-xiiy) 150 mg/6 mL Injection for IV</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BRIUMVI is a novel monoclonal antibody that targets a unique epitope on CD20-expressing B-cells. Targeting CD20 using monoclonal antibodies has proven to be an important therapeutic approach for the management of autoimmune disorders, such as RMS. BRIUMVI is uniquely designed to lack certain sugar molecules normally expressed on the antibody. Removal of these sugar molecules, a process called glycoengineering, allows for efficient B-cell depletion at low doses.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BRIUMVI is indicated in the U.S. for the treatment of adults with RMS, including clinically isolated syndrome, relapsing-remitting disease, and active secondary progressive disease and in several countries outside of the U.S. for the treatment of adult patients with RMS with active disease defined by clinical or imaging features.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list of authorized specialty distributors can be found at </w:t>
      </w:r>
      <w:r>
        <w:rPr>
          <w:rFonts w:ascii="Times New Roman" w:cs="Times New Roman" w:eastAsia="Times New Roman" w:hAnsi="Times New Roman"/>
          <w:sz w:val="18"/>
          <w:szCs w:val="18"/>
          <w:u w:val="single" w:color="auto"/>
          <w:color w:val="auto"/>
        </w:rPr>
        <w:t>www.briumvi.com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 BRIUMVI is contraindicated in patients with:</w:t>
      </w:r>
    </w:p>
    <w:p>
      <w:pPr>
        <w:spacing w:after="0" w:line="9"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Hepatitis B Virus infection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history of life-threatening infusion reaction to BRIUMVI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Infusion Reactions: </w:t>
      </w:r>
      <w:r>
        <w:rPr>
          <w:rFonts w:ascii="Times New Roman" w:cs="Times New Roman" w:eastAsia="Times New Roman" w:hAnsi="Times New Roman"/>
          <w:sz w:val="18"/>
          <w:szCs w:val="18"/>
          <w:color w:val="auto"/>
        </w:rPr>
        <w:t>BRIUMVI can cause infusion reactions, which can include pyrexia, chills, headache, influenza-like illness, tachycardia, nausea, throat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irritation, erythema, and an anaphylactic reaction. In MS clinical trials, the incidence of infusion reactions in BRIUMVI-treated patients who received infusion reaction-limiting premedication prior to each infusion was 48%, with the highest incidence within 24 hours of the first infusion. 0.6% of BRIUMVI-treated patients experienced infusion reactions that were serious, some requiring hospitalization.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Observe treated patients for infusion reactions during the infusion and for at least one hour after the completion of the first two infusions unless infusion reaction and/or hypersensitivity has been observed in association with the current or any prior infusion. Inform patients that infusion reactions can occur up to 24 hours after the infusion. Administer the recommended pre-medication to reduce the frequency and severity of infusion reactions. If life-threatening, stop the infusion immediately, permanently discontinue BRIUMVI, and administer appropriate supportive treatment. Less severe infusion reactions may involve temporarily stopping the infusion, reducing the infusion rate, and/or administering symptomatic treatment.</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Infections: </w:t>
      </w:r>
      <w:r>
        <w:rPr>
          <w:rFonts w:ascii="Times New Roman" w:cs="Times New Roman" w:eastAsia="Times New Roman" w:hAnsi="Times New Roman"/>
          <w:sz w:val="18"/>
          <w:szCs w:val="18"/>
          <w:color w:val="auto"/>
        </w:rPr>
        <w:t>Serious, life-threatening or fatal, bacterial and viral infections have been reported in BRIUMVI-treated patients. In MS clinical trials,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overall rate of infections in BRIUMVI-treated patients was 56% compared to 54% in teriflunomide-treated patients. The rate of serious infections was 5% compared to 3% respectively. There were 3 infection-related deaths in BRIUMVI-treated patients. The most common infections in BRIUMVI-treated patients included upper respiratory tract infection (45%) and urinary tract infection (10%). Delay BRIUMVI administration in patients with an active infection until the infection is resolved.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Consider the potential for increased immunosuppressive effects when initiating BRIUMVI after immunosuppressive therapy or initiating an immunosuppressive therapy after BRIUMVI.</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Hepatitis B Virus (HBV) Reactivation: </w:t>
      </w:r>
      <w:r>
        <w:rPr>
          <w:rFonts w:ascii="Times New Roman" w:cs="Times New Roman" w:eastAsia="Times New Roman" w:hAnsi="Times New Roman"/>
          <w:sz w:val="18"/>
          <w:szCs w:val="18"/>
          <w:color w:val="auto"/>
        </w:rPr>
        <w:t>HBV reactivation occurred in an MS patient treated with BRIUMVI in clinical trials. Fulminant hepatitis, hepatic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failure, and death caused by HBV reactivation have occurred in patients treated with anti-CD20 antibodies. Perform HBV screening in all patients before initiation of treatment with BRIUMVI. Do not start treatment with BRIUMVI in patients with active HBV confirmed by positive results for HB surface antigen (HBsAg) and anti-HB tests. For patients who are negative for HBsAg and positive for HB core antibody [HBcAb+] or are carriers of HBV [HBsAg+], consult a liver disease expert before starting and during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Progressive Multifocal Leukoencephalopathy (PML): </w:t>
      </w:r>
      <w:r>
        <w:rPr>
          <w:rFonts w:ascii="Times New Roman" w:cs="Times New Roman" w:eastAsia="Times New Roman" w:hAnsi="Times New Roman"/>
          <w:sz w:val="18"/>
          <w:szCs w:val="18"/>
          <w:color w:val="auto"/>
        </w:rPr>
        <w:t>Although no cases of PML have occurred in BRIUMVI-treated MS patients, JC virus infection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resulting in PML has been observed in patients treated with other anti-CD20 antibodies and other MS therapies.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PML is suspected, withhold BRIUMVI and perform an appropriate diagnostic evaluation. Typical symptoms associated with PML are diverse, progress over days to weeks, and include progressive weakness on one side of the body or clumsiness of limbs, disturbance of vision, and changes in thinking, memory, and orientation leading to confusion and personality changes.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MRI findings may be apparent before clinical signs or symptoms; monitoring for signs consistent with PML may be useful. Further investigate suspicious findings to allow for an early diagnosis of PML, if present. Following discontinuation of another MS medication associated with PML, lower PML-related mortality and morbidity have been reported in patients who were initially asymptomatic at diagnosis compared to patients who had characteristic clinical signs and symptoms at diagnosis.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PML is confirmed, treatment with BRIUMVI should be discontinued.</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Vaccinations: </w:t>
      </w:r>
      <w:r>
        <w:rPr>
          <w:rFonts w:ascii="Times New Roman" w:cs="Times New Roman" w:eastAsia="Times New Roman" w:hAnsi="Times New Roman"/>
          <w:sz w:val="18"/>
          <w:szCs w:val="18"/>
          <w:color w:val="auto"/>
        </w:rPr>
        <w:t>Administer all immunizations according to immunization guidelines: for live or live-attenuated vaccines, at least 4 weeks and, whenever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possible, at least 2 weeks prior to initiation of BRIUMVI for non-live vaccines. BRIUMVI may interfere with the effectiveness of non-live vaccines. The safety of immunization with live or live-attenuated vaccines during or following administration of BRIUMVI has not been studied. Vaccination with live virus vaccines is not recommended during treatment and until B-cell repletion.</w:t>
      </w:r>
    </w:p>
    <w:p>
      <w:pPr>
        <w:spacing w:after="0" w:line="17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Vaccination of Infants Born to Mothers Treated with BRIUMVI During Pregnancy: </w:t>
      </w:r>
      <w:r>
        <w:rPr>
          <w:rFonts w:ascii="Times New Roman" w:cs="Times New Roman" w:eastAsia="Times New Roman" w:hAnsi="Times New Roman"/>
          <w:sz w:val="18"/>
          <w:szCs w:val="18"/>
          <w:color w:val="auto"/>
        </w:rPr>
        <w:t>In infants of mothers exposed to BRIUMVI during pregnancy,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assess B-cell counts prior to administration of live or live-attenuated vaccines as measured by CD19</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B-cells. Depletion of B-cells in these infants may increase the risks from live or live-attenuated vaccines. Inactivated or non-live vaccines may be administered prior to B-cell recovery. Assessment of vaccine immune responses, including consultation with a qualified specialist, should be considered to determine whether a protective immune response was mounted.</w:t>
      </w:r>
    </w:p>
    <w:p>
      <w:pPr>
        <w:spacing w:after="0" w:line="19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Fetal Risk: </w:t>
      </w:r>
      <w:r>
        <w:rPr>
          <w:rFonts w:ascii="Times New Roman" w:cs="Times New Roman" w:eastAsia="Times New Roman" w:hAnsi="Times New Roman"/>
          <w:sz w:val="18"/>
          <w:szCs w:val="18"/>
          <w:color w:val="auto"/>
        </w:rPr>
        <w:t>Based on data from animal studies, BRIUMVI may cause fetal harm when administered to a pregnant woman. Transient peripheral B-cell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depletion and lymphocytopenia have been reported in infants born to mothers exposed to other anti-CD20 B-cell depleting antibodies during pregnancy. Advise females of reproductive potential to use effective contraception during BRIUMVI treatment and for 6 months after the last dose.</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Reduction in Immunoglobulins: </w:t>
      </w:r>
      <w:r>
        <w:rPr>
          <w:rFonts w:ascii="Times New Roman" w:cs="Times New Roman" w:eastAsia="Times New Roman" w:hAnsi="Times New Roman"/>
          <w:sz w:val="18"/>
          <w:szCs w:val="18"/>
          <w:color w:val="auto"/>
        </w:rPr>
        <w:t>As expected with any B-cell depleting therapy, decreased immunoglobulin levels were observed. Decrease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immunoglobulin M (IgM) was reported in 0.6% of BRIUMVI-treated patients compared to none of the patients treated with teriflunomide in RMS clinical trials. Monitor the levels of quantitative serum immunoglobulins during treatment, especially in patients with opportunistic or recurrent infections, and after discontinuation of therapy, until B-cell repletion. Consider discontinuing BRIUMVI therapy if a patient with low immunoglobulins develops a serious opportunistic infection or recurrent infections, or if prolonged hypogammaglobulinemia requires treatment with intravenous immunoglobulins.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Liver Injury: </w:t>
      </w:r>
      <w:r>
        <w:rPr>
          <w:rFonts w:ascii="Times New Roman" w:cs="Times New Roman" w:eastAsia="Times New Roman" w:hAnsi="Times New Roman"/>
          <w:sz w:val="18"/>
          <w:szCs w:val="18"/>
          <w:color w:val="auto"/>
        </w:rPr>
        <w:t>Clinically significant liver injury, without findings of viral hepatitis, has been reported in the postmarketing setting in patients treated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anti-CD20 B-cell depleting therapies approved for the treatment of MS, including BRIUMVI. Signs of liver injury, including markedly elevated serum hepatic enzymes with elevated total bilirubin, have occurred from weeks to months after administration.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Patients treated with BRIUMVI found to have an alanine aminotransaminase (ALT) or aspartate aminotransferase (AST) greater than 3x the upper limit of normal (ULN) with serum total bilirubin greater than 2x ULN are potentially at risk for severe drug-induced liver injury.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Obtain liver function tests prior to initiating treatment with BRIUMVI, and monitor for signs and symptoms of any hepatic injury during treatment. Measure serum aminotransferases, alkaline phosphatase, and bilirubin levels promptly in patients who report symptoms that may indicate liver injury, including new or worsening fatigue, anorexia, nausea, vomiting, right upper abdominal discomfort, dark urine, or jaundice. If liver injury is present and an alternative etiology is not identified, discontinue BRIUMVI.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Most Common Adverse Reactions: </w:t>
      </w:r>
      <w:r>
        <w:rPr>
          <w:rFonts w:ascii="Times New Roman" w:cs="Times New Roman" w:eastAsia="Times New Roman" w:hAnsi="Times New Roman"/>
          <w:sz w:val="18"/>
          <w:szCs w:val="18"/>
          <w:color w:val="auto"/>
        </w:rPr>
        <w:t>The most common adverse reactions in RMS trials (incidence of at least 10%) were infusion reactions and upper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respiratory tract infections.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Physicians, pharmacists, or other healthcare professionals with questions about BRIUMVI should visit www.briumvi.com.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BRIUMVI PATIENT SUPPORT in the U.S.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BRIUMVI Patient Support is a flexible program designed by TG Therapeutics to support U.S. patients through their treatment journey in a way that works best for them. More information about the BRIUMVI Patient Support program can be accessed at www.briumvipatientsupport.com.</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MULTIPLE SCLEROSIS</w:t>
      </w:r>
    </w:p>
    <w:p>
      <w:pPr>
        <w:spacing w:after="0" w:line="3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Relapsing multiple sclerosis (RMS) is a chronic demyelinating disease of the central nervous system (CNS) and includes people with relapsing-remitting multiple sclerosis (RRMS) and people with secondary progressive multiple sclerosis (SPMS) who continue to experience relapses. RRMS is the most common form of multiple sclerosis (MS) and is characterized by episodes of new or worsening signs or symptoms (relapses) followed by periods of recovery. It is estimated that nearly 1 million people are living with MS in the United States and approximately 85% are initially diagnosed with RRMS.</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xml:space="preserve"> The majority of people who are diagnosed with RRMS will eventually transition to SPMS, in which they experience steadily worsening disability over time. Worldwide, more than 2.3 million people have a diagnosis of MS.</w:t>
      </w:r>
      <w:r>
        <w:rPr>
          <w:rFonts w:ascii="Times New Roman" w:cs="Times New Roman" w:eastAsia="Times New Roman" w:hAnsi="Times New Roman"/>
          <w:sz w:val="29"/>
          <w:szCs w:val="29"/>
          <w:color w:val="auto"/>
          <w:vertAlign w:val="superscript"/>
        </w:rPr>
        <w:t>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TG THERAPEUTICS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TG Therapeutics is a fully integrated, commercial stage, biopharmaceutical company focused on the acquisition, development and commercialization of novel treatments for B-cell diseases. In addition to a research pipeline including several investigational medicines, TG Therapeutics has received approval from the U.S. Food and Drug Administration (FDA) for BRIUMVI® (ublituximab-xiiy) for the treatment of adult patients with relapsing forms of multiple sclerosis, including clinically isolated syndrome, relapsing-remitting disease, and active secondary progressive disease, as well as approval from several regulatory agencies outside of the U.S. for BRIUMVI to treat adult patients with RMS who have active disease defined by clinical or imaging features. For more information, visit </w:t>
      </w:r>
      <w:r>
        <w:rPr>
          <w:rFonts w:ascii="Times New Roman" w:cs="Times New Roman" w:eastAsia="Times New Roman" w:hAnsi="Times New Roman"/>
          <w:sz w:val="18"/>
          <w:szCs w:val="18"/>
          <w:u w:val="single" w:color="auto"/>
          <w:color w:val="auto"/>
        </w:rPr>
        <w:t>www.tgtherapeutics.com</w:t>
      </w:r>
      <w:r>
        <w:rPr>
          <w:rFonts w:ascii="Times New Roman" w:cs="Times New Roman" w:eastAsia="Times New Roman" w:hAnsi="Times New Roman"/>
          <w:sz w:val="18"/>
          <w:szCs w:val="18"/>
          <w:color w:val="auto"/>
        </w:rPr>
        <w:t xml:space="preserve">, and follow us on X (formerly Twitter) </w:t>
      </w:r>
      <w:r>
        <w:rPr>
          <w:rFonts w:ascii="Times New Roman" w:cs="Times New Roman" w:eastAsia="Times New Roman" w:hAnsi="Times New Roman"/>
          <w:sz w:val="18"/>
          <w:szCs w:val="18"/>
          <w:u w:val="single" w:color="auto"/>
          <w:color w:val="auto"/>
        </w:rPr>
        <w:t>@TGTherapeutics</w:t>
      </w:r>
      <w:r>
        <w:rPr>
          <w:rFonts w:ascii="Times New Roman" w:cs="Times New Roman" w:eastAsia="Times New Roman" w:hAnsi="Times New Roman"/>
          <w:sz w:val="18"/>
          <w:szCs w:val="18"/>
          <w:color w:val="auto"/>
        </w:rPr>
        <w:t xml:space="preserve"> and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BRIUMVI® is a registered trademark of TG Therapeutics, Inc.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a number of risks and uncertainties. All statements contained in this press release other than statements of historical facts, including statements regarding our future results of operations and financial position, our strategic and financial initiatives, our business strategy, and objectives for future operations may constitute forward-looking statements. For those statements, we claim the protection of the safe harbor for forward-looking statements contained in the Private Securities Litigation Reform Act of 1995.</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preliminary, estimated financial results for the fourth quarter and fiscal year ended 2025 and the 2026 guidance estimates contained in this press release contain forward-looking statements and are subject to the completion of management’s and the audit committee’s final reviews and our other financial closing procedures and are therefore subject to change. The preliminary financial information and estimates included herein have not been examined or reviewed by our independent auditors and they are subject to revision as we prepare our financial statements as of and for the quarter and fiscal year ended December 31, 2025, including all disclosures required by U.S. generally accepted accounting principles. You should not place undue reliance on such preliminary information and estimates because they may prove to be materially inaccurate. While we believe that such preliminary information and estimates are based on reasonable assumptions, actual results may vary, and such variations may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both"/>
        <w:spacing w:after="0" w:line="254" w:lineRule="auto"/>
        <w:rPr>
          <w:sz w:val="20"/>
          <w:szCs w:val="20"/>
          <w:color w:val="auto"/>
        </w:rPr>
      </w:pPr>
      <w:r>
        <w:rPr>
          <w:rFonts w:ascii="Times New Roman" w:cs="Times New Roman" w:eastAsia="Times New Roman" w:hAnsi="Times New Roman"/>
          <w:sz w:val="18"/>
          <w:szCs w:val="18"/>
          <w:color w:val="auto"/>
        </w:rPr>
        <w:t>Forward looking statements include but are not limited to statements regarding the estimated preliminary financial results referred to above, expectations for the timing and success of the commercialization and availability of BRIUMVI® (ublituximab-xiiy) for RMS in the United States, or any jurisdictions outside of the United States; anticipated healthcare professional (HCP) and patient acceptance and use of BRIUMVI for the approved indications; expectations of future revenue for BRIUMVI, or TG expenses or profit estimates or targets; our ability to execute the proposed share repurchase program; expectations and timing for our clinical trials of subcutaneous ublituximab (the active ingredient in BRIUMVI), and sometimes referred to as subcutaneous BRIUMVI, including feasibility, approvability and commercial acceptance; expectations and timing for our ENHANCE Phase 3 trial combining day 1 and day 15 doses, including, feasibility, approvability and commercial acceptance and impact on BRIUMVI sales; and expectations and timing for any of our pipeline products or programs, including Azer-cel or BRIUMVI in MG.</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 factors that could cause our actual results to differ materially include the following: the Company’s ability to continue to commercialize BRIUMVI; the risk that trends in prescriptions are not maintained or that prescriptions are not filled; the failure to obtain and maintain payor coverage; the risk that HCP interest in BRIUMVI will not be sustained; the risk that momentum in sales for BRIUMVI will not be sustained during the course of the year; the risk that the commercialization of BRIUMVI does not continue to exceed expectations; the risk that our BRIUMVI revenue targets will not be achieved; the failure to obtain and maintain requisite regulatory approvals, including the risk that the Company fails to satisfy post-approval regulatory requirements, the potential for variations from the Company’s projections and estimates about the potential market for BRIUMVI due to a number of factors, including, further limitations that regulators may impose on the required labeling for BRIUMVI (such as modifications, resulting from safety signals that arise in the post-marketing setting or in the long-term extension study from the ULTIMATE I and II clinical trials); the Company’s ability to meet post-approval compliance obligations (on topics including but not limited to product quality, product distribution and supply chain, pharmacovigilance, and sales and marketing); the Company’s reliance on third parties for manufacturing, distribution and supply, and other support functions for our clinical and commercial products, including BRIUMVI, and the ability of the Company and its manufacturers and suppliers to produce and deliver BRIUMVI to meet the market demand for BRIUMVI; the risk that any individual patient’s clinical experience in the post-marketing setting, or the aggregate patient experience in the post-marketing setting, may differ from that demonstrated in controlled clinical trials such as ULTIMATE I and II; the risk that the Company does not achieve its 2026 development pipeline anticipated milestones or goals in the timeframe projected or at all; the risk that the subcutaneous Phase 3 program will not be successful or if successful still will not be approved by the FDA or achieve commercial acceptance; the risk that the ENHANCE Phase 3 trial will not be successful or if successful will not be approved by the FDA or achieve commercial acceptance; the risk that we will not move forward with the development of BRIUMVI in MG and azer-cel following these preliminary studies; the uncertainties generally inherent in research and development; regulatory developments, legislative actions, executive orders, including the imposition of tariffs and policy changes in the U.S. and other jurisdictions; and general political, economic and business conditions. Further discussion about these and other risks and uncertainties can be found in our Annual Report on Form 10-K for the fiscal year ended December 31, 2024 and in our other filings with the Securities and Exchange Commission.</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forward-looking statements set forth in this press release speak only as of the date of this press release. We do not undertake to update any of these forward-looking statements to reflect events or circumstances that occur after the date hereof. This press release and prior releases are available at www.tgtherapeutics.com. The information found on our website is not incorporated by reference into this press release and is included for reference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CONTACT: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ir@tgtxinc.com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Telephone: 1.877.575.TGTX (8489), Option 4</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media@tgtxinc.com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Telephone: 1.877.575.TGTX (8489), Option 6</w:t>
      </w:r>
    </w:p>
    <w:p>
      <w:pPr>
        <w:spacing w:after="0" w:line="206" w:lineRule="exact"/>
        <w:rPr>
          <w:sz w:val="20"/>
          <w:szCs w:val="20"/>
          <w:color w:val="auto"/>
        </w:rPr>
      </w:pPr>
    </w:p>
    <w:p>
      <w:pPr>
        <w:ind w:firstLine="8"/>
        <w:spacing w:after="0" w:line="335" w:lineRule="auto"/>
        <w:tabs>
          <w:tab w:leader="none" w:pos="157" w:val="left"/>
        </w:tabs>
        <w:numPr>
          <w:ilvl w:val="0"/>
          <w:numId w:val="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xml:space="preserve">MS Prevalence. National Multiple Sclerosis Society website. </w:t>
      </w:r>
      <w:r>
        <w:rPr>
          <w:rFonts w:ascii="Times New Roman" w:cs="Times New Roman" w:eastAsia="Times New Roman" w:hAnsi="Times New Roman"/>
          <w:sz w:val="15"/>
          <w:szCs w:val="15"/>
          <w:u w:val="single" w:color="auto"/>
          <w:color w:val="auto"/>
        </w:rPr>
        <w:t>https://www.nationalmssociety.org/About-the-Society/MS-Prevalence</w:t>
      </w:r>
      <w:r>
        <w:rPr>
          <w:rFonts w:ascii="Times New Roman" w:cs="Times New Roman" w:eastAsia="Times New Roman" w:hAnsi="Times New Roman"/>
          <w:sz w:val="15"/>
          <w:szCs w:val="15"/>
          <w:color w:val="auto"/>
        </w:rPr>
        <w:t xml:space="preserve">. Accessed October 26, 2020. </w:t>
      </w:r>
      <w:r>
        <w:rPr>
          <w:rFonts w:ascii="Times New Roman" w:cs="Times New Roman" w:eastAsia="Times New Roman" w:hAnsi="Times New Roman"/>
          <w:sz w:val="15"/>
          <w:szCs w:val="15"/>
          <w:b w:val="1"/>
          <w:bCs w:val="1"/>
          <w:color w:val="auto"/>
        </w:rPr>
        <w:t>2.</w:t>
      </w:r>
      <w:r>
        <w:rPr>
          <w:rFonts w:ascii="Times New Roman" w:cs="Times New Roman" w:eastAsia="Times New Roman" w:hAnsi="Times New Roman"/>
          <w:sz w:val="15"/>
          <w:szCs w:val="15"/>
          <w:color w:val="auto"/>
        </w:rPr>
        <w:t xml:space="preserve"> Multiple Sclerosis International Federation, 2013 via Data monitor p. 236.</w:t>
      </w:r>
    </w:p>
    <w:sectPr>
      <w:pgSz w:w="11900" w:h="16838" w:orient="portrait"/>
      <w:cols w:equalWidth="0" w:num="1">
        <w:col w:w="11120"/>
      </w:cols>
      <w:pgMar w:left="320" w:top="58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2026-01-13T15:35:23Z</dcterms:created>
  <dcterms:modified xsi:type="dcterms:W3CDTF">2026-01-13T15:35:23Z</dcterms:modified>
</cp:coreProperties>
</file>