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Charney Laurence 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3020 CARRINGTON MILL BLVD, SUITE 475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TG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TGTX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500" w:space="420"/>
            <w:col w:w="3200" w:space="615"/>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MORRISVILLE NC</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27560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01/28/2026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30,000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192,887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01/29/2026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13,197</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179,690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bona fide gift by the Reporting Person to the Reporting Person's children. The Reporting Person does not retain any beneficial ownership or pecuniary interest over the shares of the Company's Common Stock after effecting the transaction.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of restricted Common Stock, which vest over various time periods.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Laurence N. Charney</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01/29/2026</w:t>
            </w:r>
          </w:p>
        </w:tc>
      </w:tr>
      <w:tr>
        <w:trPr>
          <w:trHeight w:val="20"/>
        </w:trPr>
        <w:tc>
          <w:tcPr>
            <w:tcW w:w="1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7451" TargetMode="External"/><Relationship Id="rId14" Type="http://schemas.openxmlformats.org/officeDocument/2006/relationships/hyperlink" Target="http://www.sec.gov/cgi-bin/browse-edgar?action=getcompany&amp;CIK=00010013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2026-01-29T16:53:16Z</dcterms:created>
  <dcterms:modified xsi:type="dcterms:W3CDTF">2026-01-29T16:53:16Z</dcterms:modified>
</cp:coreProperties>
</file>